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2541C" w14:textId="77777777" w:rsidR="00D32E52" w:rsidRPr="001C6D8A" w:rsidRDefault="00D32E52" w:rsidP="00D32E52">
      <w:pPr>
        <w:spacing w:after="160" w:line="259" w:lineRule="auto"/>
        <w:jc w:val="center"/>
        <w:rPr>
          <w:rFonts w:ascii="Arial" w:hAnsi="Arial" w:cs="Arial"/>
          <w:b/>
          <w:color w:val="000000" w:themeColor="text1"/>
          <w:szCs w:val="24"/>
        </w:rPr>
      </w:pPr>
    </w:p>
    <w:p w14:paraId="20E1721E" w14:textId="77777777" w:rsidR="00D32E52" w:rsidRPr="001C6D8A" w:rsidRDefault="00D32E52" w:rsidP="00D32E52">
      <w:pPr>
        <w:spacing w:after="160" w:line="259" w:lineRule="auto"/>
        <w:jc w:val="center"/>
        <w:rPr>
          <w:rFonts w:ascii="Arial" w:hAnsi="Arial" w:cs="Arial"/>
          <w:b/>
          <w:color w:val="000000" w:themeColor="text1"/>
          <w:szCs w:val="24"/>
        </w:rPr>
      </w:pPr>
    </w:p>
    <w:p w14:paraId="03E3A85E" w14:textId="77777777" w:rsidR="00D32E52" w:rsidRPr="001C6D8A" w:rsidRDefault="00D32E52" w:rsidP="00D32E52">
      <w:pPr>
        <w:spacing w:after="160" w:line="259" w:lineRule="auto"/>
        <w:jc w:val="center"/>
        <w:rPr>
          <w:rFonts w:ascii="Arial" w:hAnsi="Arial" w:cs="Arial"/>
          <w:b/>
          <w:color w:val="000000" w:themeColor="text1"/>
          <w:szCs w:val="24"/>
        </w:rPr>
      </w:pPr>
    </w:p>
    <w:p w14:paraId="4FBECBDB" w14:textId="77777777" w:rsidR="00D32E52" w:rsidRPr="001C6D8A" w:rsidRDefault="00D32E52" w:rsidP="00D32E52">
      <w:pPr>
        <w:spacing w:after="160" w:line="259" w:lineRule="auto"/>
        <w:jc w:val="center"/>
        <w:rPr>
          <w:rFonts w:ascii="Arial" w:hAnsi="Arial" w:cs="Arial"/>
          <w:b/>
          <w:color w:val="000000" w:themeColor="text1"/>
          <w:szCs w:val="24"/>
        </w:rPr>
      </w:pPr>
    </w:p>
    <w:p w14:paraId="659F62C1" w14:textId="77777777" w:rsidR="00D32E52" w:rsidRPr="001C6D8A" w:rsidRDefault="00D32E52" w:rsidP="00D32E52">
      <w:pPr>
        <w:spacing w:after="160" w:line="259" w:lineRule="auto"/>
        <w:jc w:val="center"/>
        <w:rPr>
          <w:rFonts w:ascii="Arial" w:hAnsi="Arial" w:cs="Arial"/>
          <w:b/>
          <w:color w:val="000000" w:themeColor="text1"/>
          <w:szCs w:val="24"/>
        </w:rPr>
      </w:pPr>
    </w:p>
    <w:p w14:paraId="2E9C69EB" w14:textId="77777777" w:rsidR="00D32E52" w:rsidRPr="001C6D8A" w:rsidRDefault="00D32E52" w:rsidP="00D32E52">
      <w:pPr>
        <w:jc w:val="center"/>
        <w:rPr>
          <w:rFonts w:ascii="Arial" w:hAnsi="Arial" w:cs="Arial"/>
          <w:b/>
          <w:color w:val="000000" w:themeColor="text1"/>
          <w:szCs w:val="24"/>
        </w:rPr>
      </w:pPr>
    </w:p>
    <w:p w14:paraId="4198341D" w14:textId="77777777" w:rsidR="00D32E52" w:rsidRPr="001C6D8A" w:rsidRDefault="00D32E52" w:rsidP="00D32E52">
      <w:pPr>
        <w:jc w:val="center"/>
        <w:rPr>
          <w:rFonts w:ascii="Arial" w:hAnsi="Arial" w:cs="Arial"/>
          <w:b/>
          <w:color w:val="000000" w:themeColor="text1"/>
          <w:szCs w:val="24"/>
        </w:rPr>
      </w:pPr>
    </w:p>
    <w:p w14:paraId="07140AEA" w14:textId="77777777" w:rsidR="00D32E52" w:rsidRPr="001C6D8A" w:rsidRDefault="00D32E52" w:rsidP="00D32E52">
      <w:pPr>
        <w:jc w:val="center"/>
        <w:rPr>
          <w:rFonts w:ascii="Arial" w:hAnsi="Arial" w:cs="Arial"/>
          <w:b/>
          <w:color w:val="000000" w:themeColor="text1"/>
          <w:szCs w:val="24"/>
        </w:rPr>
      </w:pPr>
    </w:p>
    <w:p w14:paraId="26F36656" w14:textId="77777777" w:rsidR="00D32E52" w:rsidRPr="001C6D8A" w:rsidRDefault="00D32E52" w:rsidP="00D32E52">
      <w:pPr>
        <w:jc w:val="center"/>
        <w:rPr>
          <w:rFonts w:ascii="Arial" w:hAnsi="Arial" w:cs="Arial"/>
          <w:b/>
          <w:color w:val="000000" w:themeColor="text1"/>
          <w:szCs w:val="24"/>
        </w:rPr>
      </w:pPr>
      <w:r w:rsidRPr="001C6D8A">
        <w:rPr>
          <w:rFonts w:ascii="Arial" w:hAnsi="Arial" w:cs="Arial"/>
          <w:b/>
          <w:color w:val="000000" w:themeColor="text1"/>
          <w:szCs w:val="24"/>
        </w:rPr>
        <w:t xml:space="preserve">Key Challenges Faced by FinTechs in Pakistan </w:t>
      </w:r>
    </w:p>
    <w:p w14:paraId="62A9B4FA" w14:textId="77777777" w:rsidR="00D32E52" w:rsidRPr="001C6D8A" w:rsidRDefault="00D32E52" w:rsidP="00D32E52">
      <w:pPr>
        <w:jc w:val="center"/>
        <w:rPr>
          <w:rFonts w:ascii="Arial" w:hAnsi="Arial" w:cs="Arial"/>
          <w:b/>
          <w:color w:val="000000" w:themeColor="text1"/>
          <w:szCs w:val="24"/>
        </w:rPr>
      </w:pPr>
    </w:p>
    <w:p w14:paraId="2390BC74" w14:textId="77777777" w:rsidR="00D32E52" w:rsidRPr="001C6D8A" w:rsidRDefault="00D32E52" w:rsidP="00D32E52">
      <w:pPr>
        <w:jc w:val="center"/>
        <w:rPr>
          <w:rFonts w:ascii="Arial" w:hAnsi="Arial" w:cs="Arial"/>
          <w:b/>
          <w:color w:val="000000" w:themeColor="text1"/>
          <w:szCs w:val="24"/>
        </w:rPr>
      </w:pPr>
    </w:p>
    <w:p w14:paraId="029A7B9F" w14:textId="77777777" w:rsidR="00D32E52" w:rsidRPr="001C6D8A" w:rsidRDefault="00D32E52" w:rsidP="00D32E52">
      <w:pPr>
        <w:jc w:val="center"/>
        <w:rPr>
          <w:rFonts w:ascii="Arial" w:hAnsi="Arial" w:cs="Arial"/>
          <w:bCs/>
          <w:color w:val="000000" w:themeColor="text1"/>
          <w:szCs w:val="24"/>
        </w:rPr>
      </w:pPr>
      <w:r w:rsidRPr="001C6D8A">
        <w:rPr>
          <w:rFonts w:ascii="Arial" w:hAnsi="Arial" w:cs="Arial"/>
          <w:bCs/>
          <w:color w:val="000000" w:themeColor="text1"/>
          <w:szCs w:val="24"/>
        </w:rPr>
        <w:t>By: Maham Fatima</w:t>
      </w:r>
    </w:p>
    <w:p w14:paraId="7B852F31" w14:textId="77777777" w:rsidR="00D32E52" w:rsidRPr="001C6D8A" w:rsidRDefault="00D32E52" w:rsidP="00D32E52">
      <w:pPr>
        <w:jc w:val="center"/>
        <w:rPr>
          <w:rFonts w:ascii="Arial" w:hAnsi="Arial" w:cs="Arial"/>
          <w:b/>
          <w:color w:val="000000" w:themeColor="text1"/>
          <w:szCs w:val="24"/>
        </w:rPr>
      </w:pPr>
    </w:p>
    <w:p w14:paraId="3F705FFE" w14:textId="77777777" w:rsidR="00D32E52" w:rsidRPr="001C6D8A" w:rsidRDefault="00D32E52" w:rsidP="00D32E52">
      <w:pPr>
        <w:jc w:val="center"/>
        <w:rPr>
          <w:rFonts w:ascii="Arial" w:hAnsi="Arial" w:cs="Arial"/>
          <w:b/>
          <w:color w:val="000000" w:themeColor="text1"/>
          <w:szCs w:val="24"/>
        </w:rPr>
      </w:pPr>
    </w:p>
    <w:p w14:paraId="551F611F" w14:textId="77777777" w:rsidR="00D32E52" w:rsidRPr="001C6D8A" w:rsidRDefault="00D32E52" w:rsidP="00D32E52">
      <w:pPr>
        <w:jc w:val="center"/>
        <w:rPr>
          <w:rFonts w:ascii="Arial" w:hAnsi="Arial" w:cs="Arial"/>
          <w:b/>
          <w:color w:val="000000" w:themeColor="text1"/>
          <w:szCs w:val="24"/>
        </w:rPr>
      </w:pPr>
    </w:p>
    <w:p w14:paraId="2FDDD7E7" w14:textId="77777777" w:rsidR="00D32E52" w:rsidRPr="001C6D8A" w:rsidRDefault="00D32E52" w:rsidP="00D32E52">
      <w:pPr>
        <w:spacing w:after="160" w:line="259" w:lineRule="auto"/>
        <w:jc w:val="center"/>
        <w:rPr>
          <w:rFonts w:ascii="Arial" w:hAnsi="Arial" w:cs="Arial"/>
          <w:b/>
          <w:color w:val="000000" w:themeColor="text1"/>
          <w:szCs w:val="24"/>
        </w:rPr>
      </w:pPr>
      <w:r w:rsidRPr="001C6D8A">
        <w:rPr>
          <w:rFonts w:ascii="Arial" w:hAnsi="Arial" w:cs="Arial"/>
          <w:b/>
          <w:color w:val="000000" w:themeColor="text1"/>
          <w:szCs w:val="24"/>
        </w:rPr>
        <w:br w:type="page"/>
      </w:r>
    </w:p>
    <w:p w14:paraId="6CB07323" w14:textId="097D51F0" w:rsidR="00D32E52" w:rsidRPr="001C6D8A"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lastRenderedPageBreak/>
        <w:t xml:space="preserve">FinTech once considered a pure banking sector jargon is now a familiar terminology within the technology sector. “Fintech” stands for delivering user-friendly, </w:t>
      </w:r>
      <w:r w:rsidR="000545D2" w:rsidRPr="001C6D8A">
        <w:rPr>
          <w:rFonts w:ascii="Arial" w:hAnsi="Arial" w:cs="Arial"/>
          <w:color w:val="000000" w:themeColor="text1"/>
          <w:szCs w:val="24"/>
        </w:rPr>
        <w:t>automated,</w:t>
      </w:r>
      <w:r w:rsidRPr="001C6D8A">
        <w:rPr>
          <w:rFonts w:ascii="Arial" w:hAnsi="Arial" w:cs="Arial"/>
          <w:color w:val="000000" w:themeColor="text1"/>
          <w:szCs w:val="24"/>
        </w:rPr>
        <w:t xml:space="preserve"> and effective financial services with the use of modern and innovative technologies </w:t>
      </w:r>
      <w:r w:rsidRPr="001C6D8A">
        <w:rPr>
          <w:rFonts w:ascii="Arial" w:hAnsi="Arial" w:cs="Arial"/>
          <w:b/>
          <w:bCs/>
          <w:color w:val="ED7D31" w:themeColor="accent2"/>
          <w:szCs w:val="24"/>
          <w:vertAlign w:val="superscript"/>
        </w:rPr>
        <w:t>(1</w:t>
      </w:r>
      <w:r w:rsidRPr="001C6D8A">
        <w:rPr>
          <w:rFonts w:ascii="Arial" w:hAnsi="Arial" w:cs="Arial"/>
          <w:b/>
          <w:bCs/>
          <w:color w:val="ED7D31" w:themeColor="accent2"/>
          <w:szCs w:val="24"/>
          <w:vertAlign w:val="superscript"/>
        </w:rPr>
        <w:t>)</w:t>
      </w:r>
      <w:r w:rsidRPr="001C6D8A">
        <w:rPr>
          <w:rFonts w:ascii="Arial" w:hAnsi="Arial" w:cs="Arial"/>
          <w:color w:val="000000" w:themeColor="text1"/>
          <w:szCs w:val="24"/>
        </w:rPr>
        <w:t>. The</w:t>
      </w:r>
      <w:r w:rsidRPr="001C6D8A">
        <w:rPr>
          <w:rFonts w:ascii="Arial" w:hAnsi="Arial" w:cs="Arial"/>
          <w:color w:val="000000" w:themeColor="text1"/>
          <w:szCs w:val="24"/>
        </w:rPr>
        <w:t xml:space="preserve"> increasing interest of the investors in FinTech is an evident sign of digital financial revolution around the world. The World Bank has estimated Pakistan</w:t>
      </w:r>
      <w:r>
        <w:rPr>
          <w:rFonts w:ascii="Arial" w:hAnsi="Arial" w:cs="Arial"/>
          <w:color w:val="4D5156"/>
          <w:sz w:val="21"/>
          <w:szCs w:val="21"/>
          <w:shd w:val="clear" w:color="auto" w:fill="FFFFFF"/>
        </w:rPr>
        <w:t>'</w:t>
      </w:r>
      <w:r w:rsidRPr="001C6D8A">
        <w:rPr>
          <w:rFonts w:ascii="Arial" w:hAnsi="Arial" w:cs="Arial"/>
          <w:color w:val="000000" w:themeColor="text1"/>
          <w:szCs w:val="24"/>
        </w:rPr>
        <w:t xml:space="preserve">s digital finance potential at $36 Billion resulting in 7% increase in the GDP and creating around 4 Million Jobs </w:t>
      </w:r>
      <w:r w:rsidRPr="001C6D8A">
        <w:rPr>
          <w:rFonts w:ascii="Arial" w:hAnsi="Arial" w:cs="Arial"/>
          <w:b/>
          <w:bCs/>
          <w:color w:val="ED7D31" w:themeColor="accent2"/>
          <w:szCs w:val="24"/>
          <w:vertAlign w:val="superscript"/>
        </w:rPr>
        <w:t>(2)</w:t>
      </w:r>
      <w:r w:rsidRPr="001C6D8A">
        <w:rPr>
          <w:rFonts w:ascii="Arial" w:hAnsi="Arial" w:cs="Arial"/>
          <w:color w:val="000000" w:themeColor="text1"/>
          <w:szCs w:val="24"/>
        </w:rPr>
        <w:t>.</w:t>
      </w:r>
      <w:r w:rsidRPr="001C6D8A">
        <w:rPr>
          <w:rFonts w:ascii="Arial" w:hAnsi="Arial" w:cs="Arial"/>
          <w:b/>
          <w:bCs/>
          <w:color w:val="ED7D31" w:themeColor="accent2"/>
          <w:szCs w:val="24"/>
        </w:rPr>
        <w:t xml:space="preserve"> </w:t>
      </w:r>
      <w:r w:rsidRPr="001C6D8A">
        <w:rPr>
          <w:rFonts w:ascii="Arial" w:hAnsi="Arial" w:cs="Arial"/>
          <w:color w:val="000000" w:themeColor="text1"/>
          <w:szCs w:val="24"/>
        </w:rPr>
        <w:t xml:space="preserve">Despite of many paved avenues for FinTechs as result of digital revolution there are several bottlenecks for these organizations. Some of the key challenges </w:t>
      </w:r>
      <w:r w:rsidRPr="001C6D8A">
        <w:rPr>
          <w:rFonts w:ascii="Arial" w:hAnsi="Arial" w:cs="Arial"/>
          <w:color w:val="000000" w:themeColor="text1"/>
          <w:szCs w:val="24"/>
        </w:rPr>
        <w:t>include</w:t>
      </w:r>
      <w:r w:rsidRPr="001C6D8A">
        <w:rPr>
          <w:rFonts w:ascii="Arial" w:hAnsi="Arial" w:cs="Arial"/>
          <w:color w:val="000000" w:themeColor="text1"/>
          <w:szCs w:val="24"/>
        </w:rPr>
        <w:t xml:space="preserve"> unreceptive attitudes and behaviour of the larger players, strict regulations and deficient early stages funding which are considered as the biggest challenges faced by the Fintechs in Pakistan, as indicated in Figure No.1. </w:t>
      </w:r>
    </w:p>
    <w:p w14:paraId="483DE4B9" w14:textId="77777777" w:rsidR="00D32E52" w:rsidRPr="001C6D8A" w:rsidRDefault="00D32E52" w:rsidP="00D32E52">
      <w:pPr>
        <w:spacing w:line="480" w:lineRule="auto"/>
        <w:jc w:val="center"/>
        <w:rPr>
          <w:rFonts w:ascii="Arial" w:hAnsi="Arial" w:cs="Arial"/>
          <w:color w:val="000000" w:themeColor="text1"/>
          <w:szCs w:val="24"/>
        </w:rPr>
      </w:pPr>
      <w:r w:rsidRPr="001C6D8A">
        <w:rPr>
          <w:rFonts w:ascii="Arial" w:hAnsi="Arial" w:cs="Arial"/>
          <w:noProof/>
          <w:color w:val="000000" w:themeColor="text1"/>
          <w:szCs w:val="24"/>
        </w:rPr>
        <w:drawing>
          <wp:inline distT="0" distB="0" distL="0" distR="0" wp14:anchorId="0FD3B2EC" wp14:editId="4783AFAC">
            <wp:extent cx="4064000" cy="2571750"/>
            <wp:effectExtent l="0" t="0" r="12700" b="19050"/>
            <wp:docPr id="1" name="Diagram 1">
              <a:extLst xmlns:a="http://schemas.openxmlformats.org/drawingml/2006/main">
                <a:ext uri="{FF2B5EF4-FFF2-40B4-BE49-F238E27FC236}">
                  <a16:creationId xmlns:a16="http://schemas.microsoft.com/office/drawing/2014/main" id="{6E76B48B-2EDA-4CCC-A34F-B24E845F5EA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14:paraId="097C7357" w14:textId="77777777" w:rsidR="00D32E52" w:rsidRPr="00706021" w:rsidRDefault="00D32E52" w:rsidP="00D32E52">
      <w:pPr>
        <w:spacing w:line="480" w:lineRule="auto"/>
        <w:jc w:val="center"/>
        <w:rPr>
          <w:rFonts w:ascii="Arial" w:hAnsi="Arial" w:cs="Arial"/>
          <w:iCs/>
          <w:color w:val="000000" w:themeColor="text1"/>
          <w:szCs w:val="24"/>
        </w:rPr>
      </w:pPr>
      <w:r w:rsidRPr="00706021">
        <w:rPr>
          <w:rFonts w:ascii="Arial" w:hAnsi="Arial" w:cs="Arial"/>
          <w:iCs/>
          <w:color w:val="000000" w:themeColor="text1"/>
          <w:szCs w:val="24"/>
        </w:rPr>
        <w:t>Figure</w:t>
      </w:r>
      <w:r>
        <w:rPr>
          <w:rFonts w:ascii="Arial" w:hAnsi="Arial" w:cs="Arial"/>
          <w:iCs/>
          <w:color w:val="000000" w:themeColor="text1"/>
          <w:szCs w:val="24"/>
        </w:rPr>
        <w:t xml:space="preserve"> 1.</w:t>
      </w:r>
      <w:r w:rsidRPr="00706021">
        <w:rPr>
          <w:rFonts w:ascii="Arial" w:hAnsi="Arial" w:cs="Arial"/>
          <w:i/>
          <w:color w:val="000000" w:themeColor="text1"/>
          <w:szCs w:val="24"/>
        </w:rPr>
        <w:t xml:space="preserve"> </w:t>
      </w:r>
      <w:r w:rsidRPr="00706021">
        <w:rPr>
          <w:rFonts w:ascii="Arial" w:hAnsi="Arial" w:cs="Arial"/>
          <w:iCs/>
          <w:color w:val="000000" w:themeColor="text1"/>
          <w:szCs w:val="24"/>
        </w:rPr>
        <w:t xml:space="preserve">Adapted from </w:t>
      </w:r>
      <w:r w:rsidRPr="00706021">
        <w:rPr>
          <w:rFonts w:ascii="Arial" w:hAnsi="Arial" w:cs="Arial"/>
          <w:i/>
          <w:color w:val="000000" w:themeColor="text1"/>
          <w:szCs w:val="24"/>
        </w:rPr>
        <w:t>Seeding Innovation: A framework for Rooting FinTechs in Pakistan</w:t>
      </w:r>
      <w:r w:rsidRPr="00706021">
        <w:rPr>
          <w:rFonts w:ascii="Arial" w:hAnsi="Arial" w:cs="Arial"/>
          <w:iCs/>
          <w:color w:val="000000" w:themeColor="text1"/>
          <w:szCs w:val="24"/>
        </w:rPr>
        <w:t xml:space="preserve"> </w:t>
      </w:r>
      <w:r w:rsidRPr="00706021">
        <w:rPr>
          <w:rFonts w:ascii="Arial" w:hAnsi="Arial" w:cs="Arial"/>
          <w:b/>
          <w:bCs/>
          <w:iCs/>
          <w:color w:val="ED7D31" w:themeColor="accent2"/>
          <w:szCs w:val="24"/>
          <w:vertAlign w:val="superscript"/>
        </w:rPr>
        <w:t>(3)</w:t>
      </w:r>
    </w:p>
    <w:p w14:paraId="066173D3" w14:textId="77777777" w:rsidR="00D32E52" w:rsidRPr="001C6D8A"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 xml:space="preserve">In a recent article it was identified that </w:t>
      </w:r>
      <w:r w:rsidRPr="00261E1C">
        <w:rPr>
          <w:rFonts w:ascii="Arial" w:hAnsi="Arial" w:cs="Arial"/>
          <w:color w:val="000000" w:themeColor="text1"/>
          <w:szCs w:val="24"/>
        </w:rPr>
        <w:t>regulatory</w:t>
      </w:r>
      <w:r w:rsidRPr="001C6D8A">
        <w:rPr>
          <w:rFonts w:ascii="Arial" w:hAnsi="Arial" w:cs="Arial"/>
          <w:color w:val="000000" w:themeColor="text1"/>
          <w:szCs w:val="24"/>
        </w:rPr>
        <w:t xml:space="preserve"> challenges are commonly faced by FinTech industry in the country. A study commissioned by Karandaaz Pakistan </w:t>
      </w:r>
      <w:r w:rsidRPr="001C6D8A">
        <w:rPr>
          <w:rFonts w:ascii="Arial" w:hAnsi="Arial" w:cs="Arial"/>
          <w:b/>
          <w:bCs/>
          <w:color w:val="ED7D31" w:themeColor="accent2"/>
          <w:szCs w:val="24"/>
          <w:vertAlign w:val="superscript"/>
        </w:rPr>
        <w:t>(3)</w:t>
      </w:r>
      <w:r w:rsidRPr="001C6D8A">
        <w:rPr>
          <w:rFonts w:ascii="Arial" w:hAnsi="Arial" w:cs="Arial"/>
          <w:color w:val="000000" w:themeColor="text1"/>
          <w:szCs w:val="24"/>
        </w:rPr>
        <w:t xml:space="preserve">, established that research participants from over 3000 surveys and 57 interviews had a very mix opinion regarding the current regulatory environment of the country. </w:t>
      </w:r>
      <w:r w:rsidRPr="001C6D8A">
        <w:rPr>
          <w:rFonts w:ascii="Arial" w:hAnsi="Arial" w:cs="Arial"/>
          <w:color w:val="000000" w:themeColor="text1"/>
          <w:szCs w:val="24"/>
        </w:rPr>
        <w:lastRenderedPageBreak/>
        <w:t xml:space="preserve">Although, 65% respondents did have a positive notion, a significant percentage showed their concern as reported in Figure 2. </w:t>
      </w:r>
    </w:p>
    <w:p w14:paraId="63A5275D" w14:textId="77777777" w:rsidR="00D32E52" w:rsidRPr="001C6D8A" w:rsidRDefault="00D32E52" w:rsidP="00D32E52">
      <w:pPr>
        <w:spacing w:line="480" w:lineRule="auto"/>
        <w:jc w:val="center"/>
        <w:rPr>
          <w:rFonts w:ascii="Arial" w:hAnsi="Arial" w:cs="Arial"/>
          <w:color w:val="000000" w:themeColor="text1"/>
          <w:szCs w:val="24"/>
        </w:rPr>
      </w:pPr>
      <w:r w:rsidRPr="001C6D8A">
        <w:rPr>
          <w:rFonts w:ascii="Arial" w:hAnsi="Arial" w:cs="Arial"/>
          <w:noProof/>
          <w:color w:val="000000" w:themeColor="text1"/>
          <w:szCs w:val="24"/>
        </w:rPr>
        <w:drawing>
          <wp:inline distT="0" distB="0" distL="0" distR="0" wp14:anchorId="21F72C35" wp14:editId="2267B51D">
            <wp:extent cx="4638675" cy="2514600"/>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1E40016" w14:textId="77777777" w:rsidR="00D32E52" w:rsidRPr="001C6D8A" w:rsidRDefault="00D32E52" w:rsidP="00D32E52">
      <w:pPr>
        <w:spacing w:line="480" w:lineRule="auto"/>
        <w:jc w:val="center"/>
        <w:rPr>
          <w:rFonts w:ascii="Arial" w:hAnsi="Arial" w:cs="Arial"/>
          <w:color w:val="000000" w:themeColor="text1"/>
          <w:szCs w:val="24"/>
        </w:rPr>
      </w:pPr>
      <w:r w:rsidRPr="001C6D8A">
        <w:rPr>
          <w:rFonts w:ascii="Arial" w:hAnsi="Arial" w:cs="Arial"/>
          <w:color w:val="000000" w:themeColor="text1"/>
          <w:szCs w:val="24"/>
        </w:rPr>
        <w:t>Figure 2.</w:t>
      </w:r>
      <w:r>
        <w:rPr>
          <w:rFonts w:ascii="Arial" w:hAnsi="Arial" w:cs="Arial"/>
          <w:color w:val="000000" w:themeColor="text1"/>
          <w:szCs w:val="24"/>
        </w:rPr>
        <w:t xml:space="preserve"> </w:t>
      </w:r>
      <w:r w:rsidRPr="00706021">
        <w:rPr>
          <w:rFonts w:ascii="Arial" w:hAnsi="Arial" w:cs="Arial"/>
          <w:iCs/>
          <w:color w:val="000000" w:themeColor="text1"/>
          <w:szCs w:val="24"/>
        </w:rPr>
        <w:t xml:space="preserve">Adapted from </w:t>
      </w:r>
      <w:r w:rsidRPr="00706021">
        <w:rPr>
          <w:rFonts w:ascii="Arial" w:hAnsi="Arial" w:cs="Arial"/>
          <w:i/>
          <w:color w:val="000000" w:themeColor="text1"/>
          <w:szCs w:val="24"/>
        </w:rPr>
        <w:t>Seeding Innovation: A framework for Rooting FinTechs in Pakistan</w:t>
      </w:r>
      <w:r w:rsidRPr="001C6D8A">
        <w:rPr>
          <w:rFonts w:ascii="Arial" w:hAnsi="Arial" w:cs="Arial"/>
          <w:color w:val="000000" w:themeColor="text1"/>
          <w:szCs w:val="24"/>
        </w:rPr>
        <w:t xml:space="preserve"> </w:t>
      </w:r>
      <w:r w:rsidRPr="001C6D8A">
        <w:rPr>
          <w:rFonts w:ascii="Arial" w:hAnsi="Arial" w:cs="Arial"/>
          <w:b/>
          <w:bCs/>
          <w:color w:val="ED7D31" w:themeColor="accent2"/>
          <w:szCs w:val="24"/>
          <w:vertAlign w:val="superscript"/>
        </w:rPr>
        <w:t>(3)</w:t>
      </w:r>
    </w:p>
    <w:p w14:paraId="32E43C03" w14:textId="77777777" w:rsidR="00D32E52" w:rsidRPr="001C6D8A"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But in order to understand the regulatory challenges, we first need to look at the regulatory initiatives taken uptill now in Pakistan that can support or hinder the growth of FinTechs. A snapshot in represented in the table below:</w:t>
      </w:r>
    </w:p>
    <w:tbl>
      <w:tblPr>
        <w:tblW w:w="0" w:type="auto"/>
        <w:tblCellMar>
          <w:left w:w="0" w:type="dxa"/>
          <w:right w:w="0" w:type="dxa"/>
        </w:tblCellMar>
        <w:tblLook w:val="04A0" w:firstRow="1" w:lastRow="0" w:firstColumn="1" w:lastColumn="0" w:noHBand="0" w:noVBand="1"/>
      </w:tblPr>
      <w:tblGrid>
        <w:gridCol w:w="1486"/>
        <w:gridCol w:w="3262"/>
        <w:gridCol w:w="4258"/>
      </w:tblGrid>
      <w:tr w:rsidR="00D32E52" w:rsidRPr="001C6D8A" w14:paraId="3EEBC9B0" w14:textId="77777777" w:rsidTr="009939FA">
        <w:trPr>
          <w:trHeight w:val="367"/>
        </w:trPr>
        <w:tc>
          <w:tcPr>
            <w:tcW w:w="0" w:type="auto"/>
            <w:tcBorders>
              <w:top w:val="single" w:sz="8" w:space="0" w:color="BDD6EE"/>
              <w:left w:val="single" w:sz="8" w:space="0" w:color="BDD6EE"/>
              <w:bottom w:val="single" w:sz="12" w:space="0" w:color="9CC2E5"/>
              <w:right w:val="single" w:sz="8" w:space="0" w:color="BDD6EE"/>
            </w:tcBorders>
            <w:shd w:val="clear" w:color="auto" w:fill="auto"/>
            <w:tcMar>
              <w:top w:w="18" w:type="dxa"/>
              <w:left w:w="129" w:type="dxa"/>
              <w:bottom w:w="0" w:type="dxa"/>
              <w:right w:w="129" w:type="dxa"/>
            </w:tcMar>
            <w:hideMark/>
          </w:tcPr>
          <w:p w14:paraId="78DF07C4"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b/>
                <w:bCs/>
                <w:color w:val="000000" w:themeColor="text1"/>
                <w:sz w:val="18"/>
                <w:szCs w:val="18"/>
              </w:rPr>
              <w:t>Regulation</w:t>
            </w:r>
          </w:p>
        </w:tc>
        <w:tc>
          <w:tcPr>
            <w:tcW w:w="0" w:type="auto"/>
            <w:tcBorders>
              <w:top w:val="single" w:sz="8" w:space="0" w:color="BDD6EE"/>
              <w:left w:val="single" w:sz="8" w:space="0" w:color="BDD6EE"/>
              <w:bottom w:val="single" w:sz="12" w:space="0" w:color="9CC2E5"/>
              <w:right w:val="single" w:sz="8" w:space="0" w:color="BDD6EE"/>
            </w:tcBorders>
            <w:shd w:val="clear" w:color="auto" w:fill="auto"/>
            <w:tcMar>
              <w:top w:w="18" w:type="dxa"/>
              <w:left w:w="129" w:type="dxa"/>
              <w:bottom w:w="0" w:type="dxa"/>
              <w:right w:w="129" w:type="dxa"/>
            </w:tcMar>
            <w:hideMark/>
          </w:tcPr>
          <w:p w14:paraId="1F39F1C0"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b/>
                <w:bCs/>
                <w:color w:val="000000" w:themeColor="text1"/>
                <w:sz w:val="18"/>
                <w:szCs w:val="18"/>
              </w:rPr>
              <w:t>Pros</w:t>
            </w:r>
          </w:p>
        </w:tc>
        <w:tc>
          <w:tcPr>
            <w:tcW w:w="0" w:type="auto"/>
            <w:tcBorders>
              <w:top w:val="single" w:sz="8" w:space="0" w:color="BDD6EE"/>
              <w:left w:val="single" w:sz="8" w:space="0" w:color="BDD6EE"/>
              <w:bottom w:val="single" w:sz="12" w:space="0" w:color="9CC2E5"/>
              <w:right w:val="single" w:sz="8" w:space="0" w:color="BDD6EE"/>
            </w:tcBorders>
            <w:shd w:val="clear" w:color="auto" w:fill="auto"/>
            <w:tcMar>
              <w:top w:w="18" w:type="dxa"/>
              <w:left w:w="129" w:type="dxa"/>
              <w:bottom w:w="0" w:type="dxa"/>
              <w:right w:w="129" w:type="dxa"/>
            </w:tcMar>
            <w:hideMark/>
          </w:tcPr>
          <w:p w14:paraId="0CFC1CDC"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b/>
                <w:bCs/>
                <w:color w:val="000000" w:themeColor="text1"/>
                <w:sz w:val="18"/>
                <w:szCs w:val="18"/>
              </w:rPr>
              <w:t>Cons</w:t>
            </w:r>
          </w:p>
        </w:tc>
      </w:tr>
      <w:tr w:rsidR="00D32E52" w:rsidRPr="001C6D8A" w14:paraId="38CE6495" w14:textId="77777777" w:rsidTr="009939FA">
        <w:trPr>
          <w:trHeight w:val="312"/>
        </w:trPr>
        <w:tc>
          <w:tcPr>
            <w:tcW w:w="0" w:type="auto"/>
            <w:vMerge w:val="restart"/>
            <w:tcBorders>
              <w:top w:val="single" w:sz="12" w:space="0" w:color="9CC2E5"/>
              <w:left w:val="single" w:sz="8" w:space="0" w:color="BDD6EE"/>
              <w:right w:val="single" w:sz="8" w:space="0" w:color="BDD6EE"/>
            </w:tcBorders>
            <w:shd w:val="clear" w:color="auto" w:fill="auto"/>
            <w:tcMar>
              <w:top w:w="18" w:type="dxa"/>
              <w:left w:w="129" w:type="dxa"/>
              <w:bottom w:w="0" w:type="dxa"/>
              <w:right w:w="129" w:type="dxa"/>
            </w:tcMar>
            <w:hideMark/>
          </w:tcPr>
          <w:p w14:paraId="76A52D64"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b/>
                <w:bCs/>
                <w:color w:val="000000" w:themeColor="text1"/>
                <w:sz w:val="18"/>
                <w:szCs w:val="18"/>
              </w:rPr>
              <w:t>Branchless Banking</w:t>
            </w:r>
          </w:p>
          <w:p w14:paraId="39CB47F8" w14:textId="77777777" w:rsidR="00D32E52" w:rsidRPr="001960A7" w:rsidRDefault="00D32E52" w:rsidP="009939FA">
            <w:pPr>
              <w:spacing w:line="480" w:lineRule="auto"/>
              <w:jc w:val="center"/>
              <w:rPr>
                <w:rFonts w:ascii="Arial" w:hAnsi="Arial" w:cs="Arial"/>
                <w:color w:val="000000" w:themeColor="text1"/>
                <w:sz w:val="18"/>
                <w:szCs w:val="18"/>
                <w:lang w:val="en-US"/>
              </w:rPr>
            </w:pPr>
          </w:p>
          <w:p w14:paraId="4694CBA3" w14:textId="77777777" w:rsidR="00D32E52" w:rsidRPr="001960A7" w:rsidRDefault="00D32E52" w:rsidP="009939FA">
            <w:pPr>
              <w:spacing w:line="480" w:lineRule="auto"/>
              <w:jc w:val="center"/>
              <w:rPr>
                <w:rFonts w:ascii="Arial" w:hAnsi="Arial" w:cs="Arial"/>
                <w:color w:val="000000" w:themeColor="text1"/>
                <w:sz w:val="18"/>
                <w:szCs w:val="18"/>
                <w:lang w:val="en-US"/>
              </w:rPr>
            </w:pPr>
          </w:p>
          <w:p w14:paraId="5554FE2F"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12" w:space="0" w:color="9CC2E5"/>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38A84656"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Detailed Framework</w:t>
            </w:r>
          </w:p>
        </w:tc>
        <w:tc>
          <w:tcPr>
            <w:tcW w:w="0" w:type="auto"/>
            <w:tcBorders>
              <w:top w:val="single" w:sz="12" w:space="0" w:color="9CC2E5"/>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2A9F3559"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Mandatory Banking License</w:t>
            </w:r>
          </w:p>
        </w:tc>
      </w:tr>
      <w:tr w:rsidR="00D32E52" w:rsidRPr="001C6D8A" w14:paraId="125A11A2" w14:textId="77777777" w:rsidTr="009939FA">
        <w:trPr>
          <w:trHeight w:val="565"/>
        </w:trPr>
        <w:tc>
          <w:tcPr>
            <w:tcW w:w="0" w:type="auto"/>
            <w:vMerge/>
            <w:tcBorders>
              <w:left w:val="single" w:sz="8" w:space="0" w:color="BDD6EE"/>
              <w:bottom w:val="nil"/>
              <w:right w:val="single" w:sz="8" w:space="0" w:color="BDD6EE"/>
            </w:tcBorders>
            <w:vAlign w:val="center"/>
            <w:hideMark/>
          </w:tcPr>
          <w:p w14:paraId="60F58C62"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71766CA" w14:textId="55531A7D"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 xml:space="preserve">Defined Product Offerings </w:t>
            </w:r>
            <w:r w:rsidRPr="001960A7">
              <w:rPr>
                <w:rFonts w:ascii="Arial" w:hAnsi="Arial" w:cs="Arial"/>
                <w:color w:val="000000" w:themeColor="text1"/>
                <w:sz w:val="18"/>
                <w:szCs w:val="18"/>
              </w:rPr>
              <w:t xml:space="preserve">and </w:t>
            </w:r>
            <w:r w:rsidRPr="001960A7">
              <w:rPr>
                <w:rFonts w:ascii="Arial" w:hAnsi="Arial" w:cs="Arial"/>
                <w:color w:val="000000" w:themeColor="text1"/>
                <w:sz w:val="18"/>
                <w:szCs w:val="18"/>
                <w:lang w:val="en-US"/>
              </w:rPr>
              <w:t>Identified</w:t>
            </w:r>
            <w:r w:rsidRPr="001960A7">
              <w:rPr>
                <w:rFonts w:ascii="Arial" w:hAnsi="Arial" w:cs="Arial"/>
                <w:color w:val="000000" w:themeColor="text1"/>
                <w:sz w:val="18"/>
                <w:szCs w:val="18"/>
                <w:lang w:val="en-US"/>
              </w:rPr>
              <w:t xml:space="preserve"> Role of each Player</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67CF2F65" w14:textId="28EB1342"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Banks need to hold physical servers inside the</w:t>
            </w:r>
            <w:r>
              <w:rPr>
                <w:rFonts w:ascii="Arial" w:hAnsi="Arial" w:cs="Arial"/>
                <w:color w:val="000000" w:themeColor="text1"/>
                <w:sz w:val="18"/>
                <w:szCs w:val="18"/>
              </w:rPr>
              <w:t>ir premises</w:t>
            </w:r>
            <w:r w:rsidRPr="001960A7">
              <w:rPr>
                <w:rFonts w:ascii="Arial" w:hAnsi="Arial" w:cs="Arial"/>
                <w:color w:val="000000" w:themeColor="text1"/>
                <w:sz w:val="18"/>
                <w:szCs w:val="18"/>
              </w:rPr>
              <w:t xml:space="preserve">, lacking </w:t>
            </w:r>
            <w:r w:rsidRPr="001960A7">
              <w:rPr>
                <w:rFonts w:ascii="Arial" w:hAnsi="Arial" w:cs="Arial"/>
                <w:color w:val="000000" w:themeColor="text1"/>
                <w:sz w:val="18"/>
                <w:szCs w:val="18"/>
              </w:rPr>
              <w:t>cloud-based</w:t>
            </w:r>
            <w:r w:rsidRPr="001960A7">
              <w:rPr>
                <w:rFonts w:ascii="Arial" w:hAnsi="Arial" w:cs="Arial"/>
                <w:color w:val="000000" w:themeColor="text1"/>
                <w:sz w:val="18"/>
                <w:szCs w:val="18"/>
              </w:rPr>
              <w:t xml:space="preserve"> server services</w:t>
            </w:r>
          </w:p>
        </w:tc>
      </w:tr>
      <w:tr w:rsidR="00D32E52" w:rsidRPr="001C6D8A" w14:paraId="06B24311" w14:textId="77777777" w:rsidTr="009939FA">
        <w:trPr>
          <w:trHeight w:val="1083"/>
        </w:trPr>
        <w:tc>
          <w:tcPr>
            <w:tcW w:w="0" w:type="auto"/>
            <w:vMerge/>
            <w:tcBorders>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24632275"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0A2DBB99"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lang w:val="en-US"/>
              </w:rPr>
              <w:t>Strong Anti-Money Laundering Regulations, KYC requirements and risk guidelines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17828EF0"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High on boarding friction</w:t>
            </w:r>
          </w:p>
        </w:tc>
      </w:tr>
      <w:tr w:rsidR="00D32E52" w:rsidRPr="001C6D8A" w14:paraId="1079714A" w14:textId="77777777" w:rsidTr="009939FA">
        <w:trPr>
          <w:trHeight w:val="788"/>
        </w:trPr>
        <w:tc>
          <w:tcPr>
            <w:tcW w:w="0" w:type="auto"/>
            <w:vMerge w:val="restart"/>
            <w:tcBorders>
              <w:top w:val="single" w:sz="8" w:space="0" w:color="BDD6EE"/>
              <w:left w:val="single" w:sz="8" w:space="0" w:color="BDD6EE"/>
              <w:right w:val="single" w:sz="8" w:space="0" w:color="BDD6EE"/>
            </w:tcBorders>
            <w:shd w:val="clear" w:color="auto" w:fill="auto"/>
            <w:tcMar>
              <w:top w:w="18" w:type="dxa"/>
              <w:left w:w="129" w:type="dxa"/>
              <w:bottom w:w="0" w:type="dxa"/>
              <w:right w:w="129" w:type="dxa"/>
            </w:tcMar>
            <w:hideMark/>
          </w:tcPr>
          <w:p w14:paraId="7FC3874A" w14:textId="77777777" w:rsidR="00D32E52" w:rsidRPr="001C6D8A"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b/>
                <w:bCs/>
                <w:color w:val="000000" w:themeColor="text1"/>
                <w:sz w:val="18"/>
                <w:szCs w:val="18"/>
              </w:rPr>
              <w:t>PSP/PSO</w:t>
            </w:r>
          </w:p>
          <w:p w14:paraId="0B2A10DB"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67D5557B"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Allows new entrants to enter the market and offer digital services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7E3D4B29" w14:textId="4FDFF2A5"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 xml:space="preserve">The high capital requirement set up at PKR 200 Million, acting as a barrier for FinTechs and </w:t>
            </w:r>
            <w:r w:rsidRPr="001960A7">
              <w:rPr>
                <w:rFonts w:ascii="Arial" w:hAnsi="Arial" w:cs="Arial"/>
                <w:color w:val="000000" w:themeColor="text1"/>
                <w:sz w:val="18"/>
                <w:szCs w:val="18"/>
              </w:rPr>
              <w:t>small-scale</w:t>
            </w:r>
            <w:r w:rsidRPr="001960A7">
              <w:rPr>
                <w:rFonts w:ascii="Arial" w:hAnsi="Arial" w:cs="Arial"/>
                <w:color w:val="000000" w:themeColor="text1"/>
                <w:sz w:val="18"/>
                <w:szCs w:val="18"/>
              </w:rPr>
              <w:t xml:space="preserve"> firms</w:t>
            </w:r>
          </w:p>
        </w:tc>
      </w:tr>
      <w:tr w:rsidR="00D32E52" w:rsidRPr="001C6D8A" w14:paraId="64357741" w14:textId="77777777" w:rsidTr="009939FA">
        <w:trPr>
          <w:trHeight w:val="788"/>
        </w:trPr>
        <w:tc>
          <w:tcPr>
            <w:tcW w:w="0" w:type="auto"/>
            <w:vMerge/>
            <w:tcBorders>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1DFBCE12"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601D4621"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New market entrants bring innovative business models as opposed to the traditional ones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5E1845AA"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Restricts holding customer funds to banks, store value services not permitted to PSPs.</w:t>
            </w:r>
          </w:p>
        </w:tc>
      </w:tr>
      <w:tr w:rsidR="00D32E52" w:rsidRPr="001C6D8A" w14:paraId="157C393B" w14:textId="77777777" w:rsidTr="009939FA">
        <w:trPr>
          <w:trHeight w:val="788"/>
        </w:trPr>
        <w:tc>
          <w:tcPr>
            <w:tcW w:w="0" w:type="auto"/>
            <w:vMerge w:val="restart"/>
            <w:tcBorders>
              <w:top w:val="single" w:sz="8" w:space="0" w:color="BDD6EE"/>
              <w:left w:val="single" w:sz="8" w:space="0" w:color="BDD6EE"/>
              <w:right w:val="single" w:sz="8" w:space="0" w:color="BDD6EE"/>
            </w:tcBorders>
            <w:shd w:val="clear" w:color="auto" w:fill="auto"/>
            <w:tcMar>
              <w:top w:w="18" w:type="dxa"/>
              <w:left w:w="129" w:type="dxa"/>
              <w:bottom w:w="0" w:type="dxa"/>
              <w:right w:w="129" w:type="dxa"/>
            </w:tcMar>
            <w:hideMark/>
          </w:tcPr>
          <w:p w14:paraId="722CD30D" w14:textId="77777777" w:rsidR="00D32E52" w:rsidRPr="001960A7" w:rsidRDefault="00D32E52" w:rsidP="009939FA">
            <w:pPr>
              <w:spacing w:line="480" w:lineRule="auto"/>
              <w:jc w:val="center"/>
              <w:rPr>
                <w:rFonts w:ascii="Arial" w:hAnsi="Arial" w:cs="Arial"/>
                <w:b/>
                <w:bCs/>
                <w:color w:val="000000" w:themeColor="text1"/>
                <w:sz w:val="18"/>
                <w:szCs w:val="18"/>
                <w:lang w:val="en-US"/>
              </w:rPr>
            </w:pPr>
            <w:r w:rsidRPr="001960A7">
              <w:rPr>
                <w:rFonts w:ascii="Arial" w:hAnsi="Arial" w:cs="Arial"/>
                <w:b/>
                <w:bCs/>
                <w:color w:val="000000" w:themeColor="text1"/>
                <w:sz w:val="18"/>
                <w:szCs w:val="18"/>
              </w:rPr>
              <w:lastRenderedPageBreak/>
              <w:t>AASAN Account</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3CA97CC7" w14:textId="21D6BBD2"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 xml:space="preserve">With help of NADRA biometric </w:t>
            </w:r>
            <w:r w:rsidRPr="001960A7">
              <w:rPr>
                <w:rFonts w:ascii="Arial" w:hAnsi="Arial" w:cs="Arial"/>
                <w:color w:val="000000" w:themeColor="text1"/>
                <w:sz w:val="18"/>
                <w:szCs w:val="18"/>
              </w:rPr>
              <w:t>verification,</w:t>
            </w:r>
            <w:r w:rsidRPr="001960A7">
              <w:rPr>
                <w:rFonts w:ascii="Arial" w:hAnsi="Arial" w:cs="Arial"/>
                <w:color w:val="000000" w:themeColor="text1"/>
                <w:sz w:val="18"/>
                <w:szCs w:val="18"/>
              </w:rPr>
              <w:t xml:space="preserve"> a fully digital account opening</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D24BD3A"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Significant overlap with branchless banking KYC requirements (specially for level 1 account)</w:t>
            </w:r>
          </w:p>
        </w:tc>
      </w:tr>
      <w:tr w:rsidR="00D32E52" w:rsidRPr="001C6D8A" w14:paraId="43D92A1F" w14:textId="77777777" w:rsidTr="009939FA">
        <w:trPr>
          <w:trHeight w:val="788"/>
        </w:trPr>
        <w:tc>
          <w:tcPr>
            <w:tcW w:w="0" w:type="auto"/>
            <w:vMerge/>
            <w:tcBorders>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59AC5A22"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40AB20D"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More customer friendly KYC requirements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695D858C"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960A7">
              <w:rPr>
                <w:rFonts w:ascii="Arial" w:hAnsi="Arial" w:cs="Arial"/>
                <w:color w:val="000000" w:themeColor="text1"/>
                <w:sz w:val="18"/>
                <w:szCs w:val="18"/>
              </w:rPr>
              <w:t>Customers still need to have a mandatory one time visit to bank branch for digital account opening</w:t>
            </w:r>
          </w:p>
        </w:tc>
      </w:tr>
      <w:tr w:rsidR="00D32E52" w:rsidRPr="001C6D8A" w14:paraId="67519B11" w14:textId="77777777" w:rsidTr="009939FA">
        <w:trPr>
          <w:trHeight w:val="788"/>
        </w:trPr>
        <w:tc>
          <w:tcPr>
            <w:tcW w:w="0" w:type="auto"/>
            <w:vMerge w:val="restart"/>
            <w:tcBorders>
              <w:top w:val="single" w:sz="8" w:space="0" w:color="BDD6EE"/>
              <w:left w:val="single" w:sz="8" w:space="0" w:color="BDD6EE"/>
              <w:right w:val="single" w:sz="8" w:space="0" w:color="BDD6EE"/>
            </w:tcBorders>
            <w:shd w:val="clear" w:color="auto" w:fill="auto"/>
            <w:tcMar>
              <w:top w:w="18" w:type="dxa"/>
              <w:left w:w="129" w:type="dxa"/>
              <w:bottom w:w="0" w:type="dxa"/>
              <w:right w:w="129" w:type="dxa"/>
            </w:tcMar>
            <w:hideMark/>
          </w:tcPr>
          <w:p w14:paraId="7D31AE11" w14:textId="77777777" w:rsidR="00D32E52" w:rsidRPr="001960A7" w:rsidRDefault="00D32E52" w:rsidP="009939FA">
            <w:pPr>
              <w:spacing w:line="480" w:lineRule="auto"/>
              <w:jc w:val="center"/>
              <w:rPr>
                <w:rFonts w:ascii="Arial" w:hAnsi="Arial" w:cs="Arial"/>
                <w:b/>
                <w:bCs/>
                <w:color w:val="000000" w:themeColor="text1"/>
                <w:sz w:val="18"/>
                <w:szCs w:val="18"/>
                <w:lang w:val="en-US"/>
              </w:rPr>
            </w:pPr>
            <w:r w:rsidRPr="001C6D8A">
              <w:rPr>
                <w:rFonts w:ascii="Arial" w:hAnsi="Arial" w:cs="Arial"/>
                <w:b/>
                <w:bCs/>
                <w:color w:val="000000" w:themeColor="text1"/>
                <w:sz w:val="18"/>
                <w:szCs w:val="18"/>
                <w:lang w:val="en-US"/>
              </w:rPr>
              <w:t>EMI Regulations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75EFB4F7" w14:textId="77777777" w:rsidR="00D32E52" w:rsidRPr="001C6D8A" w:rsidRDefault="00D32E52" w:rsidP="009939FA">
            <w:pPr>
              <w:spacing w:line="480" w:lineRule="auto"/>
              <w:jc w:val="center"/>
              <w:rPr>
                <w:rFonts w:ascii="Arial" w:hAnsi="Arial" w:cs="Arial"/>
                <w:color w:val="000000" w:themeColor="text1"/>
                <w:sz w:val="18"/>
                <w:szCs w:val="18"/>
                <w:shd w:val="clear" w:color="auto" w:fill="FFFFFF"/>
              </w:rPr>
            </w:pPr>
            <w:r w:rsidRPr="001C6D8A">
              <w:rPr>
                <w:rFonts w:ascii="Arial" w:hAnsi="Arial" w:cs="Arial"/>
                <w:color w:val="000000" w:themeColor="text1"/>
                <w:sz w:val="18"/>
                <w:szCs w:val="18"/>
                <w:shd w:val="clear" w:color="auto" w:fill="FFFFFF"/>
              </w:rPr>
              <w:t>Reducing the dependence of FinTech Players on banking institution for e-money distribution</w:t>
            </w:r>
          </w:p>
          <w:p w14:paraId="07FE4C10"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1B8BDAE"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C6D8A">
              <w:rPr>
                <w:rFonts w:ascii="Arial" w:hAnsi="Arial" w:cs="Arial"/>
                <w:color w:val="000000" w:themeColor="text1"/>
                <w:sz w:val="18"/>
                <w:szCs w:val="18"/>
                <w:shd w:val="clear" w:color="auto" w:fill="FFFFFF"/>
              </w:rPr>
              <w:t>FinTechs often need to be highly dependent on banks mainly for the settlements</w:t>
            </w:r>
          </w:p>
        </w:tc>
      </w:tr>
      <w:tr w:rsidR="00D32E52" w:rsidRPr="001C6D8A" w14:paraId="0987680A" w14:textId="77777777" w:rsidTr="009939FA">
        <w:trPr>
          <w:trHeight w:val="788"/>
        </w:trPr>
        <w:tc>
          <w:tcPr>
            <w:tcW w:w="0" w:type="auto"/>
            <w:vMerge/>
            <w:tcBorders>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0B6D9BB" w14:textId="77777777" w:rsidR="00D32E52" w:rsidRPr="001960A7" w:rsidRDefault="00D32E52" w:rsidP="009939FA">
            <w:pPr>
              <w:spacing w:line="480" w:lineRule="auto"/>
              <w:jc w:val="center"/>
              <w:rPr>
                <w:rFonts w:ascii="Arial" w:hAnsi="Arial" w:cs="Arial"/>
                <w:color w:val="000000" w:themeColor="text1"/>
                <w:sz w:val="18"/>
                <w:szCs w:val="18"/>
                <w:lang w:val="en-US"/>
              </w:rPr>
            </w:pP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41CBACC1" w14:textId="77777777" w:rsidR="00D32E52" w:rsidRPr="001960A7" w:rsidRDefault="00D32E52" w:rsidP="009939FA">
            <w:pPr>
              <w:spacing w:line="480" w:lineRule="auto"/>
              <w:jc w:val="center"/>
              <w:rPr>
                <w:rFonts w:ascii="Arial" w:hAnsi="Arial" w:cs="Arial"/>
                <w:color w:val="000000" w:themeColor="text1"/>
                <w:sz w:val="18"/>
                <w:szCs w:val="18"/>
                <w:lang w:val="en-US"/>
              </w:rPr>
            </w:pPr>
            <w:r w:rsidRPr="001C6D8A">
              <w:rPr>
                <w:rFonts w:ascii="Arial" w:hAnsi="Arial" w:cs="Arial"/>
                <w:color w:val="000000" w:themeColor="text1"/>
                <w:sz w:val="18"/>
                <w:szCs w:val="18"/>
                <w:lang w:val="en-US"/>
              </w:rPr>
              <w:t>Opening avenues for new FinTech players with innovative business models to solve ghetto problems</w:t>
            </w:r>
          </w:p>
        </w:tc>
        <w:tc>
          <w:tcPr>
            <w:tcW w:w="0" w:type="auto"/>
            <w:tcBorders>
              <w:top w:val="single" w:sz="8" w:space="0" w:color="BDD6EE"/>
              <w:left w:val="single" w:sz="8" w:space="0" w:color="BDD6EE"/>
              <w:bottom w:val="single" w:sz="8" w:space="0" w:color="BDD6EE"/>
              <w:right w:val="single" w:sz="8" w:space="0" w:color="BDD6EE"/>
            </w:tcBorders>
            <w:shd w:val="clear" w:color="auto" w:fill="auto"/>
            <w:tcMar>
              <w:top w:w="18" w:type="dxa"/>
              <w:left w:w="129" w:type="dxa"/>
              <w:bottom w:w="0" w:type="dxa"/>
              <w:right w:w="129" w:type="dxa"/>
            </w:tcMar>
            <w:hideMark/>
          </w:tcPr>
          <w:p w14:paraId="3DAF4F71" w14:textId="2792FF20" w:rsidR="00D32E52" w:rsidRPr="001960A7" w:rsidRDefault="00D32E52" w:rsidP="009939FA">
            <w:pPr>
              <w:spacing w:line="480" w:lineRule="auto"/>
              <w:jc w:val="center"/>
              <w:rPr>
                <w:rFonts w:ascii="Arial" w:hAnsi="Arial" w:cs="Arial"/>
                <w:color w:val="000000" w:themeColor="text1"/>
                <w:sz w:val="18"/>
                <w:szCs w:val="18"/>
                <w:lang w:val="en-US"/>
              </w:rPr>
            </w:pPr>
            <w:r w:rsidRPr="001C6D8A">
              <w:rPr>
                <w:rFonts w:ascii="Arial" w:hAnsi="Arial" w:cs="Arial"/>
                <w:color w:val="000000" w:themeColor="text1"/>
                <w:sz w:val="18"/>
                <w:szCs w:val="18"/>
                <w:lang w:val="en-US"/>
              </w:rPr>
              <w:t xml:space="preserve">The FinTechs needs to keep up with the ongoing capital requirement of PKR 200 Million acting as a barrier for innovative but </w:t>
            </w:r>
            <w:r w:rsidRPr="001C6D8A">
              <w:rPr>
                <w:rFonts w:ascii="Arial" w:hAnsi="Arial" w:cs="Arial"/>
                <w:color w:val="000000" w:themeColor="text1"/>
                <w:sz w:val="18"/>
                <w:szCs w:val="18"/>
                <w:lang w:val="en-US"/>
              </w:rPr>
              <w:t>small-scale</w:t>
            </w:r>
            <w:r w:rsidRPr="001C6D8A">
              <w:rPr>
                <w:rFonts w:ascii="Arial" w:hAnsi="Arial" w:cs="Arial"/>
                <w:color w:val="000000" w:themeColor="text1"/>
                <w:sz w:val="18"/>
                <w:szCs w:val="18"/>
                <w:lang w:val="en-US"/>
              </w:rPr>
              <w:t xml:space="preserve"> entrants</w:t>
            </w:r>
          </w:p>
        </w:tc>
      </w:tr>
    </w:tbl>
    <w:p w14:paraId="2AAEEDC6" w14:textId="77777777" w:rsidR="00D32E52" w:rsidRPr="001C6D8A" w:rsidRDefault="00D32E52" w:rsidP="00D32E52">
      <w:pPr>
        <w:spacing w:line="480" w:lineRule="auto"/>
        <w:jc w:val="center"/>
        <w:rPr>
          <w:rFonts w:ascii="Arial" w:hAnsi="Arial" w:cs="Arial"/>
          <w:color w:val="000000" w:themeColor="text1"/>
          <w:szCs w:val="24"/>
        </w:rPr>
      </w:pPr>
      <w:r w:rsidRPr="001C6D8A">
        <w:rPr>
          <w:rFonts w:ascii="Arial" w:hAnsi="Arial" w:cs="Arial"/>
          <w:color w:val="000000" w:themeColor="text1"/>
          <w:szCs w:val="24"/>
        </w:rPr>
        <w:t>Table 1. Snapshot of the regulations impacting FinTechs in the country.</w:t>
      </w:r>
      <w:r>
        <w:rPr>
          <w:rFonts w:ascii="Arial" w:hAnsi="Arial" w:cs="Arial"/>
          <w:color w:val="000000" w:themeColor="text1"/>
          <w:szCs w:val="24"/>
        </w:rPr>
        <w:t xml:space="preserve"> Adapted from </w:t>
      </w:r>
      <w:r w:rsidRPr="00940990">
        <w:rPr>
          <w:rFonts w:ascii="Arial" w:hAnsi="Arial" w:cs="Arial"/>
          <w:i/>
          <w:iCs/>
          <w:color w:val="000000" w:themeColor="text1"/>
          <w:szCs w:val="24"/>
        </w:rPr>
        <w:t>Karandaaz and Dawn News</w:t>
      </w:r>
      <w:r w:rsidRPr="001C6D8A">
        <w:rPr>
          <w:rFonts w:ascii="Arial" w:hAnsi="Arial" w:cs="Arial"/>
          <w:b/>
          <w:bCs/>
          <w:color w:val="ED7D31" w:themeColor="accent2"/>
          <w:szCs w:val="24"/>
          <w:vertAlign w:val="superscript"/>
        </w:rPr>
        <w:t>(3, 4)</w:t>
      </w:r>
    </w:p>
    <w:p w14:paraId="13E489DE" w14:textId="1F32A9DE" w:rsidR="00D32E52" w:rsidRPr="001C6D8A"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 xml:space="preserve">Summing up the regulatory environment it is evident that </w:t>
      </w:r>
      <w:r w:rsidRPr="001C6D8A">
        <w:rPr>
          <w:rFonts w:ascii="Arial" w:hAnsi="Arial" w:cs="Arial"/>
          <w:color w:val="000000" w:themeColor="text1"/>
          <w:szCs w:val="24"/>
        </w:rPr>
        <w:t>despite</w:t>
      </w:r>
      <w:r w:rsidRPr="001C6D8A">
        <w:rPr>
          <w:rFonts w:ascii="Arial" w:hAnsi="Arial" w:cs="Arial"/>
          <w:color w:val="000000" w:themeColor="text1"/>
          <w:szCs w:val="24"/>
        </w:rPr>
        <w:t xml:space="preserve"> placement of these regulations, FinTechs in Pakistan face the capital requirement or the funding blockades. There are several reasons why Fintechs face funding challenges. One of them is that our country is still a developing economy with presence of risk averse culture resulting in less interest of funding sources such as crowd funding and venture capital </w:t>
      </w:r>
      <w:r w:rsidRPr="001C6D8A">
        <w:rPr>
          <w:rFonts w:ascii="Arial" w:hAnsi="Arial" w:cs="Arial"/>
          <w:b/>
          <w:bCs/>
          <w:color w:val="ED7D31" w:themeColor="accent2"/>
          <w:szCs w:val="24"/>
          <w:vertAlign w:val="superscript"/>
        </w:rPr>
        <w:t>(5, 6)</w:t>
      </w:r>
      <w:r w:rsidRPr="001C6D8A">
        <w:rPr>
          <w:rFonts w:ascii="Arial" w:hAnsi="Arial" w:cs="Arial"/>
          <w:color w:val="000000" w:themeColor="text1"/>
          <w:szCs w:val="24"/>
        </w:rPr>
        <w:t xml:space="preserve">. Furthermore, the high capital regulatory requirement to operate as EMI in Pakistan as compared to developed economies barred new entrants who already struggle to access funds. Lastly, capital requirements are largely fulfilled by international donor agencies or by winning </w:t>
      </w:r>
      <w:r w:rsidRPr="001C6D8A">
        <w:rPr>
          <w:rFonts w:ascii="Arial" w:hAnsi="Arial" w:cs="Arial"/>
          <w:color w:val="000000" w:themeColor="text1"/>
          <w:szCs w:val="24"/>
        </w:rPr>
        <w:t>start-up</w:t>
      </w:r>
      <w:r w:rsidRPr="001C6D8A">
        <w:rPr>
          <w:rFonts w:ascii="Arial" w:hAnsi="Arial" w:cs="Arial"/>
          <w:color w:val="000000" w:themeColor="text1"/>
          <w:szCs w:val="24"/>
        </w:rPr>
        <w:t xml:space="preserve"> competitions either at national or international level limiting the entry of new FinTech players due to less availability of financing options </w:t>
      </w:r>
      <w:r w:rsidRPr="001C6D8A">
        <w:rPr>
          <w:rFonts w:ascii="Arial" w:hAnsi="Arial" w:cs="Arial"/>
          <w:b/>
          <w:bCs/>
          <w:color w:val="ED7D31" w:themeColor="accent2"/>
          <w:szCs w:val="24"/>
          <w:vertAlign w:val="superscript"/>
        </w:rPr>
        <w:t>(5)</w:t>
      </w:r>
      <w:r w:rsidRPr="001C6D8A">
        <w:rPr>
          <w:rFonts w:ascii="Arial" w:hAnsi="Arial" w:cs="Arial"/>
          <w:color w:val="000000" w:themeColor="text1"/>
          <w:szCs w:val="24"/>
        </w:rPr>
        <w:t xml:space="preserve">.   </w:t>
      </w:r>
    </w:p>
    <w:p w14:paraId="4189C152" w14:textId="66B76667" w:rsidR="00D32E52" w:rsidRPr="001C6D8A"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 xml:space="preserve">On the demand side, FinTechs widely face the issues related to data security and protection of personal information of customers which hinder the process of their growth and grabbing the market opportunities </w:t>
      </w:r>
      <w:r w:rsidRPr="001C6D8A">
        <w:rPr>
          <w:rFonts w:ascii="Arial" w:hAnsi="Arial" w:cs="Arial"/>
          <w:b/>
          <w:bCs/>
          <w:color w:val="ED7D31" w:themeColor="accent2"/>
          <w:szCs w:val="24"/>
          <w:vertAlign w:val="superscript"/>
        </w:rPr>
        <w:t>(</w:t>
      </w:r>
      <w:r w:rsidRPr="001C6D8A">
        <w:rPr>
          <w:rStyle w:val="selectable"/>
          <w:rFonts w:ascii="Arial" w:eastAsiaTheme="majorEastAsia" w:hAnsi="Arial" w:cs="Arial"/>
          <w:b/>
          <w:bCs/>
          <w:color w:val="ED7D31" w:themeColor="accent2"/>
          <w:szCs w:val="24"/>
          <w:vertAlign w:val="superscript"/>
        </w:rPr>
        <w:t>7)</w:t>
      </w:r>
      <w:r w:rsidRPr="001C6D8A">
        <w:rPr>
          <w:rFonts w:ascii="Arial" w:hAnsi="Arial" w:cs="Arial"/>
          <w:color w:val="000000" w:themeColor="text1"/>
          <w:szCs w:val="24"/>
        </w:rPr>
        <w:t xml:space="preserve">. Although, FinTechs can play their </w:t>
      </w:r>
      <w:r w:rsidRPr="001C6D8A">
        <w:rPr>
          <w:rFonts w:ascii="Arial" w:hAnsi="Arial" w:cs="Arial"/>
          <w:color w:val="000000" w:themeColor="text1"/>
          <w:szCs w:val="24"/>
        </w:rPr>
        <w:lastRenderedPageBreak/>
        <w:t xml:space="preserve">role in including the financial excluded population of the country (refer to figure 3 below for an overview), </w:t>
      </w:r>
      <w:r w:rsidRPr="00261E1C">
        <w:rPr>
          <w:rFonts w:ascii="Arial" w:hAnsi="Arial" w:cs="Arial"/>
          <w:color w:val="000000" w:themeColor="text1"/>
          <w:szCs w:val="24"/>
        </w:rPr>
        <w:t>cyber and data security threats</w:t>
      </w:r>
      <w:r w:rsidRPr="001C6D8A">
        <w:rPr>
          <w:rFonts w:ascii="Arial" w:hAnsi="Arial" w:cs="Arial"/>
          <w:color w:val="000000" w:themeColor="text1"/>
          <w:szCs w:val="24"/>
        </w:rPr>
        <w:t xml:space="preserve"> lie as a top barrier for FinTechs. Cyber-criminals can manipulate card numbers, </w:t>
      </w:r>
      <w:r w:rsidRPr="001C6D8A">
        <w:rPr>
          <w:rFonts w:ascii="Arial" w:hAnsi="Arial" w:cs="Arial"/>
          <w:color w:val="000000" w:themeColor="text1"/>
          <w:szCs w:val="24"/>
        </w:rPr>
        <w:t>pins,</w:t>
      </w:r>
      <w:r w:rsidRPr="001C6D8A">
        <w:rPr>
          <w:rFonts w:ascii="Arial" w:hAnsi="Arial" w:cs="Arial"/>
          <w:color w:val="000000" w:themeColor="text1"/>
          <w:szCs w:val="24"/>
        </w:rPr>
        <w:t xml:space="preserve"> and emails of the users quite easily that can impact satisfaction as well as sensitive information along with the money of the customers </w:t>
      </w:r>
      <w:r w:rsidRPr="001C6D8A">
        <w:rPr>
          <w:rFonts w:ascii="Arial" w:hAnsi="Arial" w:cs="Arial"/>
          <w:b/>
          <w:bCs/>
          <w:color w:val="ED7D31" w:themeColor="accent2"/>
          <w:szCs w:val="24"/>
          <w:vertAlign w:val="superscript"/>
        </w:rPr>
        <w:t>(8)</w:t>
      </w:r>
      <w:r w:rsidRPr="001C6D8A">
        <w:rPr>
          <w:rFonts w:ascii="Arial" w:hAnsi="Arial" w:cs="Arial"/>
          <w:color w:val="000000" w:themeColor="text1"/>
          <w:szCs w:val="24"/>
        </w:rPr>
        <w:t xml:space="preserve">. Therefore, a significant investment of time and money is required to protect Fintech solutions from both internal and external threats so that they can overcome networking vulnerabilities and weaknesses. </w:t>
      </w:r>
    </w:p>
    <w:p w14:paraId="5CCA3F0E" w14:textId="77777777" w:rsidR="00D32E52" w:rsidRPr="001C6D8A" w:rsidRDefault="00D32E52" w:rsidP="00D32E52">
      <w:pPr>
        <w:spacing w:line="480" w:lineRule="auto"/>
        <w:jc w:val="center"/>
        <w:rPr>
          <w:rFonts w:ascii="Arial" w:hAnsi="Arial" w:cs="Arial"/>
          <w:color w:val="000000" w:themeColor="text1"/>
          <w:szCs w:val="24"/>
        </w:rPr>
      </w:pPr>
      <w:r w:rsidRPr="001C6D8A">
        <w:rPr>
          <w:rFonts w:ascii="Arial" w:hAnsi="Arial" w:cs="Arial"/>
          <w:noProof/>
          <w:color w:val="000000" w:themeColor="text1"/>
          <w:szCs w:val="24"/>
        </w:rPr>
        <w:drawing>
          <wp:inline distT="0" distB="0" distL="0" distR="0" wp14:anchorId="7F9BD46D" wp14:editId="183150F6">
            <wp:extent cx="4352925" cy="23336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E1D4E0" w14:textId="77777777" w:rsidR="00D32E52" w:rsidRPr="001C6D8A" w:rsidRDefault="00D32E52" w:rsidP="00D32E52">
      <w:pPr>
        <w:spacing w:line="480" w:lineRule="auto"/>
        <w:jc w:val="center"/>
        <w:rPr>
          <w:rFonts w:ascii="Arial" w:hAnsi="Arial" w:cs="Arial"/>
          <w:color w:val="000000" w:themeColor="text1"/>
          <w:szCs w:val="24"/>
        </w:rPr>
      </w:pPr>
      <w:r>
        <w:rPr>
          <w:rFonts w:ascii="Arial" w:hAnsi="Arial" w:cs="Arial"/>
          <w:color w:val="000000" w:themeColor="text1"/>
          <w:szCs w:val="24"/>
        </w:rPr>
        <w:t xml:space="preserve">Figure 3. Adapted from </w:t>
      </w:r>
      <w:r w:rsidRPr="006841F2">
        <w:rPr>
          <w:rFonts w:ascii="Arial" w:hAnsi="Arial" w:cs="Arial"/>
          <w:i/>
          <w:iCs/>
          <w:color w:val="000000" w:themeColor="text1"/>
          <w:szCs w:val="24"/>
        </w:rPr>
        <w:t>G20 Financial Inclusion Indicators</w:t>
      </w:r>
      <w:r>
        <w:rPr>
          <w:rFonts w:ascii="Arial" w:hAnsi="Arial" w:cs="Arial"/>
          <w:color w:val="000000" w:themeColor="text1"/>
          <w:szCs w:val="24"/>
        </w:rPr>
        <w:t xml:space="preserve"> </w:t>
      </w:r>
      <w:r w:rsidRPr="001C6D8A">
        <w:rPr>
          <w:rFonts w:ascii="Arial" w:hAnsi="Arial" w:cs="Arial"/>
          <w:b/>
          <w:bCs/>
          <w:color w:val="ED7D31" w:themeColor="accent2"/>
          <w:szCs w:val="24"/>
          <w:vertAlign w:val="superscript"/>
        </w:rPr>
        <w:t>(9)</w:t>
      </w:r>
    </w:p>
    <w:p w14:paraId="53B07894" w14:textId="51CA5F3F" w:rsidR="00D32E52" w:rsidRDefault="00D32E52" w:rsidP="00D32E52">
      <w:pPr>
        <w:spacing w:line="480" w:lineRule="auto"/>
        <w:jc w:val="both"/>
        <w:rPr>
          <w:rFonts w:ascii="Arial" w:hAnsi="Arial" w:cs="Arial"/>
          <w:color w:val="000000" w:themeColor="text1"/>
          <w:szCs w:val="24"/>
        </w:rPr>
      </w:pPr>
      <w:r>
        <w:rPr>
          <w:rFonts w:ascii="Arial" w:hAnsi="Arial" w:cs="Arial"/>
          <w:color w:val="000000" w:themeColor="text1"/>
          <w:szCs w:val="24"/>
        </w:rPr>
        <w:t xml:space="preserve">As mentioned above, the lower access to formal financing in Pakistan can be considered as a potential opportunity for the FinTechs to tap but it is also considered as a blockage for targeting the customers. For instance, according to a study by GSMA 4 out of 5 adults in Pakistan are financially excluded </w:t>
      </w:r>
      <w:r w:rsidRPr="00165F8B">
        <w:rPr>
          <w:rFonts w:ascii="Arial" w:hAnsi="Arial" w:cs="Arial"/>
          <w:b/>
          <w:bCs/>
          <w:color w:val="ED7D31" w:themeColor="accent2"/>
          <w:szCs w:val="24"/>
          <w:vertAlign w:val="superscript"/>
        </w:rPr>
        <w:t>(10)</w:t>
      </w:r>
      <w:r>
        <w:rPr>
          <w:rFonts w:ascii="Arial" w:hAnsi="Arial" w:cs="Arial"/>
          <w:color w:val="000000" w:themeColor="text1"/>
          <w:szCs w:val="24"/>
        </w:rPr>
        <w:t xml:space="preserve">. Additionally, indicators by Karandaaz suggest that digital financial inclusion stands at 13% of the adult population but the concept understanding of mobile money is still significantly low depicting a decreasing trend as compared to previous years </w:t>
      </w:r>
      <w:r w:rsidRPr="00165F8B">
        <w:rPr>
          <w:rFonts w:ascii="Arial" w:hAnsi="Arial" w:cs="Arial"/>
          <w:b/>
          <w:bCs/>
          <w:color w:val="ED7D31" w:themeColor="accent2"/>
          <w:szCs w:val="24"/>
          <w:vertAlign w:val="superscript"/>
        </w:rPr>
        <w:t>(12)</w:t>
      </w:r>
      <w:r>
        <w:rPr>
          <w:rFonts w:ascii="Arial" w:hAnsi="Arial" w:cs="Arial"/>
          <w:color w:val="000000" w:themeColor="text1"/>
          <w:szCs w:val="24"/>
        </w:rPr>
        <w:t xml:space="preserve">. Previous research data also depicts that 9% of the adult population do hold mobile money accounts </w:t>
      </w:r>
      <w:r w:rsidRPr="00165F8B">
        <w:rPr>
          <w:rFonts w:ascii="Arial" w:hAnsi="Arial" w:cs="Arial"/>
          <w:b/>
          <w:bCs/>
          <w:color w:val="ED7D31" w:themeColor="accent2"/>
          <w:szCs w:val="24"/>
          <w:vertAlign w:val="superscript"/>
        </w:rPr>
        <w:t>(12)</w:t>
      </w:r>
      <w:r>
        <w:rPr>
          <w:rFonts w:ascii="Arial" w:hAnsi="Arial" w:cs="Arial"/>
          <w:color w:val="000000" w:themeColor="text1"/>
          <w:szCs w:val="24"/>
        </w:rPr>
        <w:t xml:space="preserve">, but the percentage of females who have mobile money account is 3 times less than men in the country </w:t>
      </w:r>
      <w:r w:rsidRPr="00165F8B">
        <w:rPr>
          <w:rFonts w:ascii="Arial" w:hAnsi="Arial" w:cs="Arial"/>
          <w:b/>
          <w:bCs/>
          <w:color w:val="ED7D31" w:themeColor="accent2"/>
          <w:szCs w:val="24"/>
          <w:vertAlign w:val="superscript"/>
        </w:rPr>
        <w:t>(11)</w:t>
      </w:r>
      <w:r>
        <w:rPr>
          <w:rFonts w:ascii="Arial" w:hAnsi="Arial" w:cs="Arial"/>
          <w:color w:val="000000" w:themeColor="text1"/>
          <w:szCs w:val="24"/>
        </w:rPr>
        <w:t xml:space="preserve">. The underlying reason for a lower formal accounts and mobile money </w:t>
      </w:r>
      <w:r>
        <w:rPr>
          <w:rFonts w:ascii="Arial" w:hAnsi="Arial" w:cs="Arial"/>
          <w:color w:val="000000" w:themeColor="text1"/>
          <w:szCs w:val="24"/>
        </w:rPr>
        <w:lastRenderedPageBreak/>
        <w:t xml:space="preserve">accounts can be attributed to lower literacy rate </w:t>
      </w:r>
      <w:r w:rsidRPr="00165F8B">
        <w:rPr>
          <w:rFonts w:ascii="Arial" w:hAnsi="Arial" w:cs="Arial"/>
          <w:b/>
          <w:bCs/>
          <w:color w:val="ED7D31" w:themeColor="accent2"/>
          <w:szCs w:val="24"/>
          <w:vertAlign w:val="superscript"/>
        </w:rPr>
        <w:t>(8)</w:t>
      </w:r>
      <w:r w:rsidRPr="00165F8B">
        <w:rPr>
          <w:rFonts w:ascii="Arial" w:hAnsi="Arial" w:cs="Arial"/>
          <w:color w:val="ED7D31" w:themeColor="accent2"/>
          <w:szCs w:val="24"/>
        </w:rPr>
        <w:t xml:space="preserve"> </w:t>
      </w:r>
      <w:r>
        <w:rPr>
          <w:rFonts w:ascii="Arial" w:hAnsi="Arial" w:cs="Arial"/>
          <w:color w:val="000000" w:themeColor="text1"/>
          <w:szCs w:val="24"/>
        </w:rPr>
        <w:t xml:space="preserve">that results in less ability of people to comprehend and use financial technology. With the absence of basic numeric literacy people in the country are also far behind in terms of digital literacy </w:t>
      </w:r>
      <w:r w:rsidRPr="00165F8B">
        <w:rPr>
          <w:rFonts w:ascii="Arial" w:hAnsi="Arial" w:cs="Arial"/>
          <w:b/>
          <w:bCs/>
          <w:color w:val="ED7D31" w:themeColor="accent2"/>
          <w:szCs w:val="24"/>
          <w:vertAlign w:val="superscript"/>
        </w:rPr>
        <w:t>(10)</w:t>
      </w:r>
      <w:r w:rsidRPr="00165F8B">
        <w:rPr>
          <w:rFonts w:ascii="Arial" w:hAnsi="Arial" w:cs="Arial"/>
          <w:color w:val="ED7D31" w:themeColor="accent2"/>
          <w:szCs w:val="24"/>
        </w:rPr>
        <w:t xml:space="preserve"> </w:t>
      </w:r>
      <w:r>
        <w:rPr>
          <w:rFonts w:ascii="Arial" w:hAnsi="Arial" w:cs="Arial"/>
          <w:color w:val="000000" w:themeColor="text1"/>
          <w:szCs w:val="24"/>
        </w:rPr>
        <w:t xml:space="preserve">that curtails expansion of mobile money account users. This whole complicated scenario results in entry barrier for FinTechs as they cannot target the </w:t>
      </w:r>
      <w:r>
        <w:rPr>
          <w:rFonts w:ascii="Arial" w:hAnsi="Arial" w:cs="Arial"/>
          <w:color w:val="000000" w:themeColor="text1"/>
          <w:szCs w:val="24"/>
        </w:rPr>
        <w:t>untapped</w:t>
      </w:r>
      <w:r>
        <w:rPr>
          <w:rFonts w:ascii="Arial" w:hAnsi="Arial" w:cs="Arial"/>
          <w:color w:val="000000" w:themeColor="text1"/>
          <w:szCs w:val="24"/>
        </w:rPr>
        <w:t xml:space="preserve"> market which is estimated to underserve more than 100 Million adults and more than 3 Million small scale businesses </w:t>
      </w:r>
      <w:r w:rsidRPr="00165F8B">
        <w:rPr>
          <w:rFonts w:ascii="Arial" w:hAnsi="Arial" w:cs="Arial"/>
          <w:b/>
          <w:bCs/>
          <w:color w:val="ED7D31" w:themeColor="accent2"/>
          <w:szCs w:val="24"/>
          <w:vertAlign w:val="superscript"/>
        </w:rPr>
        <w:t>(13)</w:t>
      </w:r>
      <w:r w:rsidRPr="00165F8B">
        <w:rPr>
          <w:rFonts w:ascii="Arial" w:hAnsi="Arial" w:cs="Arial"/>
          <w:color w:val="ED7D31" w:themeColor="accent2"/>
          <w:szCs w:val="24"/>
        </w:rPr>
        <w:t xml:space="preserve"> </w:t>
      </w:r>
      <w:r>
        <w:rPr>
          <w:rFonts w:ascii="Arial" w:hAnsi="Arial" w:cs="Arial"/>
          <w:color w:val="000000" w:themeColor="text1"/>
          <w:szCs w:val="24"/>
        </w:rPr>
        <w:t xml:space="preserve">currently. </w:t>
      </w:r>
    </w:p>
    <w:p w14:paraId="340EB27D" w14:textId="1BD8788A" w:rsidR="00D32E52" w:rsidRDefault="00D32E52" w:rsidP="00D32E52">
      <w:pPr>
        <w:spacing w:line="480" w:lineRule="auto"/>
        <w:jc w:val="both"/>
        <w:rPr>
          <w:rFonts w:ascii="Arial" w:hAnsi="Arial" w:cs="Arial"/>
          <w:color w:val="000000" w:themeColor="text1"/>
          <w:szCs w:val="24"/>
        </w:rPr>
      </w:pPr>
      <w:r>
        <w:rPr>
          <w:rFonts w:ascii="Arial" w:hAnsi="Arial" w:cs="Arial"/>
          <w:color w:val="000000" w:themeColor="text1"/>
          <w:szCs w:val="24"/>
        </w:rPr>
        <w:t>It is also important to mention that FinTechs specially those operating at large scale tend to focus only on tech-</w:t>
      </w:r>
      <w:r>
        <w:rPr>
          <w:rFonts w:ascii="Arial" w:hAnsi="Arial" w:cs="Arial"/>
          <w:color w:val="000000" w:themeColor="text1"/>
          <w:szCs w:val="24"/>
        </w:rPr>
        <w:t>savvy</w:t>
      </w:r>
      <w:r>
        <w:rPr>
          <w:rFonts w:ascii="Arial" w:hAnsi="Arial" w:cs="Arial"/>
          <w:color w:val="000000" w:themeColor="text1"/>
          <w:szCs w:val="24"/>
        </w:rPr>
        <w:t xml:space="preserve"> and literate audience missing out on the largest chunk which is severely underserved. FinTechs need to understand that a financial solution needs to be in simplest form for the audience to feel comfortable about it that would result in mobilization of technological use. Moreover, because FinTechs in the country have to deal with the vulnerable and financially excluded population of the society they need to introduce products that are simple, easy to use and allows customers to anticipate financial changes and shocks. If, the FinTechs offerings have these inherited properties that offers maximum benefits in the simplest format only then they can attract customers at the base of the pyramid </w:t>
      </w:r>
      <w:r w:rsidRPr="00165F8B">
        <w:rPr>
          <w:rFonts w:ascii="Arial" w:hAnsi="Arial" w:cs="Arial"/>
          <w:b/>
          <w:bCs/>
          <w:color w:val="ED7D31" w:themeColor="accent2"/>
          <w:szCs w:val="24"/>
          <w:vertAlign w:val="superscript"/>
        </w:rPr>
        <w:t>(14)</w:t>
      </w:r>
      <w:r>
        <w:rPr>
          <w:rFonts w:ascii="Arial" w:hAnsi="Arial" w:cs="Arial"/>
          <w:color w:val="000000" w:themeColor="text1"/>
          <w:szCs w:val="24"/>
        </w:rPr>
        <w:t xml:space="preserve">. </w:t>
      </w:r>
    </w:p>
    <w:p w14:paraId="32E22E64" w14:textId="4FA8BC72" w:rsidR="00D32E52" w:rsidRDefault="00D32E52" w:rsidP="00D32E52">
      <w:pPr>
        <w:spacing w:line="480" w:lineRule="auto"/>
        <w:jc w:val="both"/>
        <w:rPr>
          <w:rFonts w:ascii="Arial" w:hAnsi="Arial" w:cs="Arial"/>
          <w:color w:val="000000" w:themeColor="text1"/>
          <w:szCs w:val="24"/>
        </w:rPr>
      </w:pPr>
      <w:r>
        <w:rPr>
          <w:rFonts w:ascii="Arial" w:hAnsi="Arial" w:cs="Arial"/>
          <w:color w:val="000000" w:themeColor="text1"/>
          <w:szCs w:val="24"/>
        </w:rPr>
        <w:t xml:space="preserve">Talking more about the product and product designs, interestingly </w:t>
      </w:r>
      <w:r w:rsidRPr="001C6D8A">
        <w:rPr>
          <w:rFonts w:ascii="Arial" w:hAnsi="Arial" w:cs="Arial"/>
          <w:color w:val="000000" w:themeColor="text1"/>
          <w:szCs w:val="24"/>
        </w:rPr>
        <w:t xml:space="preserve">another challenge for Fintechs and traditional financial institutions arise from the technology and digital solutions directly </w:t>
      </w:r>
      <w:r w:rsidRPr="001C6D8A">
        <w:rPr>
          <w:rFonts w:ascii="Arial" w:hAnsi="Arial" w:cs="Arial"/>
          <w:b/>
          <w:bCs/>
          <w:color w:val="ED7D31" w:themeColor="accent2"/>
          <w:szCs w:val="24"/>
          <w:vertAlign w:val="superscript"/>
        </w:rPr>
        <w:t>(1</w:t>
      </w:r>
      <w:r>
        <w:rPr>
          <w:rFonts w:ascii="Arial" w:hAnsi="Arial" w:cs="Arial"/>
          <w:b/>
          <w:bCs/>
          <w:color w:val="ED7D31" w:themeColor="accent2"/>
          <w:szCs w:val="24"/>
          <w:vertAlign w:val="superscript"/>
        </w:rPr>
        <w:t>5</w:t>
      </w:r>
      <w:r w:rsidRPr="001C6D8A">
        <w:rPr>
          <w:rFonts w:ascii="Arial" w:hAnsi="Arial" w:cs="Arial"/>
          <w:b/>
          <w:bCs/>
          <w:color w:val="ED7D31" w:themeColor="accent2"/>
          <w:szCs w:val="24"/>
          <w:vertAlign w:val="superscript"/>
        </w:rPr>
        <w:t>)</w:t>
      </w:r>
      <w:r w:rsidRPr="001C6D8A">
        <w:rPr>
          <w:rFonts w:ascii="Arial" w:hAnsi="Arial" w:cs="Arial"/>
          <w:color w:val="000000" w:themeColor="text1"/>
          <w:szCs w:val="24"/>
        </w:rPr>
        <w:t xml:space="preserve">. </w:t>
      </w:r>
      <w:r w:rsidRPr="00261E1C">
        <w:rPr>
          <w:rFonts w:ascii="Arial" w:hAnsi="Arial" w:cs="Arial"/>
          <w:color w:val="000000" w:themeColor="text1"/>
          <w:szCs w:val="24"/>
        </w:rPr>
        <w:t>Lack of innovative product design that also offers in build data security feature acts as a barrier to the new market entrants and is a threat to existing financial technology players.</w:t>
      </w:r>
      <w:r w:rsidRPr="001C6D8A">
        <w:rPr>
          <w:rFonts w:ascii="Arial" w:hAnsi="Arial" w:cs="Arial"/>
          <w:color w:val="000000" w:themeColor="text1"/>
          <w:szCs w:val="24"/>
        </w:rPr>
        <w:t xml:space="preserve"> Moreover, the existing market players despite providing efficient services lack customer trust. For instance, digital and branchless banking services offered by leading telco banks offer customer convenience, </w:t>
      </w:r>
      <w:r w:rsidRPr="001C6D8A">
        <w:rPr>
          <w:rFonts w:ascii="Arial" w:hAnsi="Arial" w:cs="Arial"/>
          <w:color w:val="000000" w:themeColor="text1"/>
          <w:szCs w:val="24"/>
        </w:rPr>
        <w:t>doorstep</w:t>
      </w:r>
      <w:r w:rsidRPr="001C6D8A">
        <w:rPr>
          <w:rFonts w:ascii="Arial" w:hAnsi="Arial" w:cs="Arial"/>
          <w:color w:val="000000" w:themeColor="text1"/>
          <w:szCs w:val="24"/>
        </w:rPr>
        <w:t xml:space="preserve">, and easy to access services </w:t>
      </w:r>
      <w:r w:rsidRPr="001C6D8A">
        <w:rPr>
          <w:rFonts w:ascii="Arial" w:hAnsi="Arial" w:cs="Arial"/>
          <w:b/>
          <w:bCs/>
          <w:color w:val="ED7D31" w:themeColor="accent2"/>
          <w:szCs w:val="24"/>
          <w:vertAlign w:val="superscript"/>
        </w:rPr>
        <w:t>(1</w:t>
      </w:r>
      <w:r>
        <w:rPr>
          <w:rFonts w:ascii="Arial" w:hAnsi="Arial" w:cs="Arial"/>
          <w:b/>
          <w:bCs/>
          <w:color w:val="ED7D31" w:themeColor="accent2"/>
          <w:szCs w:val="24"/>
          <w:vertAlign w:val="superscript"/>
        </w:rPr>
        <w:t>6</w:t>
      </w:r>
      <w:r w:rsidRPr="001C6D8A">
        <w:rPr>
          <w:rFonts w:ascii="Arial" w:hAnsi="Arial" w:cs="Arial"/>
          <w:b/>
          <w:bCs/>
          <w:color w:val="ED7D31" w:themeColor="accent2"/>
          <w:szCs w:val="24"/>
          <w:vertAlign w:val="superscript"/>
        </w:rPr>
        <w:t xml:space="preserve">) </w:t>
      </w:r>
      <w:r w:rsidRPr="001C6D8A">
        <w:rPr>
          <w:rFonts w:ascii="Arial" w:hAnsi="Arial" w:cs="Arial"/>
          <w:color w:val="000000" w:themeColor="text1"/>
          <w:szCs w:val="24"/>
        </w:rPr>
        <w:t>still result</w:t>
      </w:r>
      <w:r>
        <w:rPr>
          <w:rFonts w:ascii="Arial" w:hAnsi="Arial" w:cs="Arial"/>
          <w:color w:val="000000" w:themeColor="text1"/>
          <w:szCs w:val="24"/>
        </w:rPr>
        <w:t>s</w:t>
      </w:r>
      <w:r w:rsidRPr="001C6D8A">
        <w:rPr>
          <w:rFonts w:ascii="Arial" w:hAnsi="Arial" w:cs="Arial"/>
          <w:color w:val="000000" w:themeColor="text1"/>
          <w:szCs w:val="24"/>
        </w:rPr>
        <w:t xml:space="preserve"> in l</w:t>
      </w:r>
      <w:r>
        <w:rPr>
          <w:rFonts w:ascii="Arial" w:hAnsi="Arial" w:cs="Arial"/>
          <w:color w:val="000000" w:themeColor="text1"/>
          <w:szCs w:val="24"/>
        </w:rPr>
        <w:t>ow</w:t>
      </w:r>
      <w:r w:rsidRPr="001C6D8A">
        <w:rPr>
          <w:rFonts w:ascii="Arial" w:hAnsi="Arial" w:cs="Arial"/>
          <w:color w:val="000000" w:themeColor="text1"/>
          <w:szCs w:val="24"/>
        </w:rPr>
        <w:t xml:space="preserve"> satisfaction of the customers due to lack </w:t>
      </w:r>
      <w:r w:rsidRPr="001C6D8A">
        <w:rPr>
          <w:rFonts w:ascii="Arial" w:hAnsi="Arial" w:cs="Arial"/>
          <w:color w:val="000000" w:themeColor="text1"/>
          <w:szCs w:val="24"/>
        </w:rPr>
        <w:lastRenderedPageBreak/>
        <w:t xml:space="preserve">of timeliness and errors in the payment processes. One key reason for lower customer satisfaction can be attributed to the fact </w:t>
      </w:r>
      <w:r w:rsidRPr="00EB5F97">
        <w:rPr>
          <w:rFonts w:ascii="Arial" w:hAnsi="Arial" w:cs="Arial"/>
          <w:color w:val="000000" w:themeColor="text1"/>
          <w:szCs w:val="24"/>
        </w:rPr>
        <w:t>that customers’ behaviour and expectations</w:t>
      </w:r>
      <w:r w:rsidRPr="001C6D8A">
        <w:rPr>
          <w:rFonts w:ascii="Arial" w:hAnsi="Arial" w:cs="Arial"/>
          <w:color w:val="000000" w:themeColor="text1"/>
          <w:szCs w:val="24"/>
        </w:rPr>
        <w:t xml:space="preserve"> have evolved now. The loyalty level of traditional customers has vanished, and the attitude of the consumers has become democratic where they prefer to opt for the digital product offering them the highest benefit </w:t>
      </w:r>
      <w:r w:rsidRPr="001C6D8A">
        <w:rPr>
          <w:rFonts w:ascii="Arial" w:hAnsi="Arial" w:cs="Arial"/>
          <w:b/>
          <w:bCs/>
          <w:color w:val="ED7D31" w:themeColor="accent2"/>
          <w:szCs w:val="24"/>
          <w:vertAlign w:val="superscript"/>
        </w:rPr>
        <w:t>(1</w:t>
      </w:r>
      <w:r>
        <w:rPr>
          <w:rFonts w:ascii="Arial" w:hAnsi="Arial" w:cs="Arial"/>
          <w:b/>
          <w:bCs/>
          <w:color w:val="ED7D31" w:themeColor="accent2"/>
          <w:szCs w:val="24"/>
          <w:vertAlign w:val="superscript"/>
        </w:rPr>
        <w:t>7</w:t>
      </w:r>
      <w:r w:rsidRPr="001C6D8A">
        <w:rPr>
          <w:rFonts w:ascii="Arial" w:hAnsi="Arial" w:cs="Arial"/>
          <w:b/>
          <w:bCs/>
          <w:color w:val="ED7D31" w:themeColor="accent2"/>
          <w:szCs w:val="24"/>
          <w:vertAlign w:val="superscript"/>
        </w:rPr>
        <w:t>)</w:t>
      </w:r>
      <w:r w:rsidRPr="001C6D8A">
        <w:rPr>
          <w:rFonts w:ascii="Arial" w:hAnsi="Arial" w:cs="Arial"/>
          <w:color w:val="000000" w:themeColor="text1"/>
          <w:szCs w:val="24"/>
        </w:rPr>
        <w:t xml:space="preserve">. Therefore, this situation is considered as a severe warning to the financial institutions that they can lose businesses’ productivity if they do not implement the latest technologies </w:t>
      </w:r>
      <w:r>
        <w:rPr>
          <w:rFonts w:ascii="Arial" w:hAnsi="Arial" w:cs="Arial"/>
          <w:color w:val="000000" w:themeColor="text1"/>
          <w:szCs w:val="24"/>
        </w:rPr>
        <w:t>that are now the need of today’s customer</w:t>
      </w:r>
      <w:r w:rsidRPr="001C6D8A">
        <w:rPr>
          <w:rFonts w:ascii="Arial" w:hAnsi="Arial" w:cs="Arial"/>
          <w:color w:val="000000" w:themeColor="text1"/>
          <w:szCs w:val="24"/>
        </w:rPr>
        <w:t xml:space="preserve">.   </w:t>
      </w:r>
    </w:p>
    <w:p w14:paraId="2A1A8906" w14:textId="77777777" w:rsidR="00D32E52"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Lastly, it is important to highlight that talent (strategic work force) which is essential for successful operations</w:t>
      </w:r>
      <w:r>
        <w:rPr>
          <w:rFonts w:ascii="Arial" w:hAnsi="Arial" w:cs="Arial"/>
          <w:color w:val="000000" w:themeColor="text1"/>
          <w:szCs w:val="24"/>
        </w:rPr>
        <w:t xml:space="preserve"> of FinTechs unfortunately</w:t>
      </w:r>
      <w:r w:rsidRPr="001C6D8A">
        <w:rPr>
          <w:rFonts w:ascii="Arial" w:hAnsi="Arial" w:cs="Arial"/>
          <w:color w:val="000000" w:themeColor="text1"/>
          <w:szCs w:val="24"/>
        </w:rPr>
        <w:t xml:space="preserve"> lacks in Pakistan </w:t>
      </w:r>
      <w:r w:rsidRPr="001C6D8A">
        <w:rPr>
          <w:rFonts w:ascii="Arial" w:hAnsi="Arial" w:cs="Arial"/>
          <w:b/>
          <w:bCs/>
          <w:color w:val="ED7D31" w:themeColor="accent2"/>
          <w:szCs w:val="24"/>
          <w:vertAlign w:val="superscript"/>
        </w:rPr>
        <w:t>(6)</w:t>
      </w:r>
      <w:r w:rsidRPr="001C6D8A">
        <w:rPr>
          <w:rFonts w:ascii="Arial" w:hAnsi="Arial" w:cs="Arial"/>
          <w:color w:val="000000" w:themeColor="text1"/>
          <w:szCs w:val="24"/>
        </w:rPr>
        <w:t xml:space="preserve">. Although, some sources do identify that there isn’t any lack in quantity of talent but the quality of talent that misaligns with the objectives of FinTechs </w:t>
      </w:r>
      <w:r w:rsidRPr="001C6D8A">
        <w:rPr>
          <w:rFonts w:ascii="Arial" w:hAnsi="Arial" w:cs="Arial"/>
          <w:b/>
          <w:bCs/>
          <w:color w:val="ED7D31" w:themeColor="accent2"/>
          <w:szCs w:val="24"/>
          <w:vertAlign w:val="superscript"/>
        </w:rPr>
        <w:t>(3)</w:t>
      </w:r>
      <w:r w:rsidRPr="001C6D8A">
        <w:rPr>
          <w:rFonts w:ascii="Arial" w:hAnsi="Arial" w:cs="Arial"/>
          <w:color w:val="000000" w:themeColor="text1"/>
          <w:szCs w:val="24"/>
        </w:rPr>
        <w:t xml:space="preserve">. For this, an ongoing support from universities is necessary to prepare the future market workforce with the right skills that speak for its quality. </w:t>
      </w:r>
    </w:p>
    <w:p w14:paraId="570764B9" w14:textId="48C93D82" w:rsidR="00D32E52" w:rsidRDefault="00D32E52" w:rsidP="00D32E52">
      <w:pPr>
        <w:spacing w:line="480" w:lineRule="auto"/>
        <w:jc w:val="both"/>
        <w:rPr>
          <w:rFonts w:ascii="Arial" w:hAnsi="Arial" w:cs="Arial"/>
          <w:color w:val="000000" w:themeColor="text1"/>
          <w:szCs w:val="24"/>
        </w:rPr>
      </w:pPr>
      <w:r w:rsidRPr="001C6D8A">
        <w:rPr>
          <w:rFonts w:ascii="Arial" w:hAnsi="Arial" w:cs="Arial"/>
          <w:color w:val="000000" w:themeColor="text1"/>
          <w:szCs w:val="24"/>
        </w:rPr>
        <w:t>In conclusion, FinTech industry in Pakistan can be still considered in its</w:t>
      </w:r>
      <w:r>
        <w:rPr>
          <w:rFonts w:ascii="Arial" w:hAnsi="Arial" w:cs="Arial"/>
          <w:color w:val="000000" w:themeColor="text1"/>
          <w:szCs w:val="24"/>
        </w:rPr>
        <w:t xml:space="preserve"> </w:t>
      </w:r>
      <w:r w:rsidRPr="00A6688C">
        <w:rPr>
          <w:rFonts w:ascii="Arial" w:hAnsi="Arial" w:cs="Arial"/>
          <w:color w:val="000000" w:themeColor="text1"/>
          <w:szCs w:val="24"/>
        </w:rPr>
        <w:t>embryonic</w:t>
      </w:r>
      <w:r w:rsidRPr="001C6D8A">
        <w:rPr>
          <w:rFonts w:ascii="Arial" w:hAnsi="Arial" w:cs="Arial"/>
          <w:color w:val="000000" w:themeColor="text1"/>
          <w:szCs w:val="24"/>
        </w:rPr>
        <w:t xml:space="preserve"> stages facing several bottlenecks and challenges which </w:t>
      </w:r>
      <w:r>
        <w:rPr>
          <w:rFonts w:ascii="Arial" w:hAnsi="Arial" w:cs="Arial"/>
          <w:color w:val="000000" w:themeColor="text1"/>
          <w:szCs w:val="24"/>
        </w:rPr>
        <w:t xml:space="preserve">demand considerable attention. In order to cope up with the mentioned challenges there is a need to address them via advocating them </w:t>
      </w:r>
      <w:r w:rsidRPr="001C6D8A">
        <w:rPr>
          <w:rFonts w:ascii="Arial" w:hAnsi="Arial" w:cs="Arial"/>
          <w:color w:val="000000" w:themeColor="text1"/>
          <w:szCs w:val="24"/>
        </w:rPr>
        <w:t>at national level</w:t>
      </w:r>
      <w:r>
        <w:rPr>
          <w:rFonts w:ascii="Arial" w:hAnsi="Arial" w:cs="Arial"/>
          <w:color w:val="000000" w:themeColor="text1"/>
          <w:szCs w:val="24"/>
        </w:rPr>
        <w:t xml:space="preserve">, creating awareness at national and international forum, research investigations and brining all the FinTech players at one platform </w:t>
      </w:r>
      <w:r w:rsidRPr="001C6D8A">
        <w:rPr>
          <w:rFonts w:ascii="Arial" w:hAnsi="Arial" w:cs="Arial"/>
          <w:color w:val="000000" w:themeColor="text1"/>
          <w:szCs w:val="24"/>
        </w:rPr>
        <w:t>for sustainability of the FinTech ecosystem.</w:t>
      </w:r>
      <w:r>
        <w:rPr>
          <w:rFonts w:ascii="Arial" w:hAnsi="Arial" w:cs="Arial"/>
          <w:color w:val="000000" w:themeColor="text1"/>
          <w:szCs w:val="24"/>
        </w:rPr>
        <w:t xml:space="preserve"> Only by co-creation process it is possible that all stakeholders formulate a collaboration that creates joint value for each </w:t>
      </w:r>
      <w:r>
        <w:rPr>
          <w:rFonts w:ascii="Arial" w:hAnsi="Arial" w:cs="Arial"/>
          <w:color w:val="000000" w:themeColor="text1"/>
          <w:szCs w:val="24"/>
        </w:rPr>
        <w:t>player</w:t>
      </w:r>
      <w:r>
        <w:rPr>
          <w:rFonts w:ascii="Arial" w:hAnsi="Arial" w:cs="Arial"/>
          <w:color w:val="000000" w:themeColor="text1"/>
          <w:szCs w:val="24"/>
        </w:rPr>
        <w:t xml:space="preserve"> benefitting them individually as well as the system as whole. </w:t>
      </w:r>
    </w:p>
    <w:p w14:paraId="51AFFA3A" w14:textId="77777777" w:rsidR="00D32E52" w:rsidRPr="001C6D8A" w:rsidRDefault="00D32E52" w:rsidP="00D32E52">
      <w:pPr>
        <w:spacing w:after="160" w:line="259" w:lineRule="auto"/>
        <w:rPr>
          <w:rFonts w:ascii="Arial" w:hAnsi="Arial" w:cs="Arial"/>
          <w:b/>
          <w:color w:val="000000" w:themeColor="text1"/>
          <w:szCs w:val="24"/>
        </w:rPr>
      </w:pPr>
      <w:r w:rsidRPr="001C6D8A">
        <w:rPr>
          <w:rFonts w:ascii="Arial" w:hAnsi="Arial" w:cs="Arial"/>
          <w:b/>
          <w:color w:val="000000" w:themeColor="text1"/>
          <w:szCs w:val="24"/>
        </w:rPr>
        <w:br w:type="page"/>
      </w:r>
    </w:p>
    <w:p w14:paraId="671F67EC" w14:textId="77777777" w:rsidR="00D32E52" w:rsidRPr="001C6D8A" w:rsidRDefault="00D32E52" w:rsidP="00D32E52">
      <w:pPr>
        <w:spacing w:line="480" w:lineRule="auto"/>
        <w:jc w:val="center"/>
        <w:rPr>
          <w:rFonts w:ascii="Arial" w:hAnsi="Arial" w:cs="Arial"/>
          <w:b/>
          <w:color w:val="000000" w:themeColor="text1"/>
          <w:szCs w:val="24"/>
        </w:rPr>
      </w:pPr>
      <w:r w:rsidRPr="001C6D8A">
        <w:rPr>
          <w:rFonts w:ascii="Arial" w:hAnsi="Arial" w:cs="Arial"/>
          <w:b/>
          <w:color w:val="000000" w:themeColor="text1"/>
          <w:szCs w:val="24"/>
        </w:rPr>
        <w:lastRenderedPageBreak/>
        <w:t>References</w:t>
      </w:r>
    </w:p>
    <w:p w14:paraId="3AE2B54E" w14:textId="77777777" w:rsidR="00D32E52" w:rsidRPr="001C6D8A" w:rsidRDefault="00D32E52" w:rsidP="00D32E52">
      <w:pPr>
        <w:spacing w:line="360" w:lineRule="auto"/>
        <w:jc w:val="both"/>
        <w:rPr>
          <w:rStyle w:val="selectable"/>
          <w:rFonts w:ascii="Arial" w:eastAsiaTheme="majorEastAsia" w:hAnsi="Arial" w:cs="Arial"/>
          <w:color w:val="000000" w:themeColor="text1"/>
          <w:szCs w:val="24"/>
        </w:rPr>
      </w:pPr>
      <w:r w:rsidRPr="009B50E8">
        <w:rPr>
          <w:rStyle w:val="selectable"/>
          <w:rFonts w:ascii="Arial" w:eastAsiaTheme="majorEastAsia" w:hAnsi="Arial" w:cs="Arial"/>
          <w:b/>
          <w:bCs/>
          <w:color w:val="ED7D31" w:themeColor="accent2"/>
          <w:szCs w:val="24"/>
          <w:vertAlign w:val="superscript"/>
        </w:rPr>
        <w:t>(1)</w:t>
      </w:r>
      <w:r w:rsidRPr="009B50E8">
        <w:rPr>
          <w:rStyle w:val="selectable"/>
          <w:rFonts w:ascii="Arial" w:eastAsiaTheme="majorEastAsia" w:hAnsi="Arial" w:cs="Arial"/>
          <w:color w:val="ED7D31" w:themeColor="accent2"/>
          <w:szCs w:val="24"/>
        </w:rPr>
        <w:t xml:space="preserve">  </w:t>
      </w:r>
      <w:r w:rsidRPr="001C6D8A">
        <w:rPr>
          <w:rStyle w:val="selectable"/>
          <w:rFonts w:ascii="Arial" w:eastAsiaTheme="majorEastAsia" w:hAnsi="Arial" w:cs="Arial"/>
          <w:color w:val="000000" w:themeColor="text1"/>
          <w:szCs w:val="24"/>
        </w:rPr>
        <w:t xml:space="preserve">Fintechfutures. (2020). </w:t>
      </w:r>
      <w:r w:rsidRPr="001C6D8A">
        <w:rPr>
          <w:rStyle w:val="selectable"/>
          <w:rFonts w:ascii="Arial" w:eastAsiaTheme="majorEastAsia" w:hAnsi="Arial" w:cs="Arial"/>
          <w:i/>
          <w:iCs/>
          <w:color w:val="000000" w:themeColor="text1"/>
          <w:szCs w:val="24"/>
        </w:rPr>
        <w:t>Digitalisation landscape in Pakistan – a tech view - FinTech Futures</w:t>
      </w:r>
      <w:r w:rsidRPr="001C6D8A">
        <w:rPr>
          <w:rStyle w:val="selectable"/>
          <w:rFonts w:ascii="Arial" w:eastAsiaTheme="majorEastAsia" w:hAnsi="Arial" w:cs="Arial"/>
          <w:color w:val="000000" w:themeColor="text1"/>
          <w:szCs w:val="24"/>
        </w:rPr>
        <w:t xml:space="preserve">. FinTech Futures. Retrieved 11 April 2021, from </w:t>
      </w:r>
      <w:hyperlink r:id="rId11" w:history="1">
        <w:r w:rsidRPr="001C6D8A">
          <w:rPr>
            <w:rStyle w:val="Hyperlink"/>
            <w:rFonts w:ascii="Arial" w:eastAsiaTheme="majorEastAsia" w:hAnsi="Arial" w:cs="Arial"/>
            <w:color w:val="000000" w:themeColor="text1"/>
            <w:szCs w:val="24"/>
          </w:rPr>
          <w:t>https://www.fintechfutures.com/2020/12/digitalisation-landscape-in-pakistan-a-tech-view/</w:t>
        </w:r>
      </w:hyperlink>
      <w:r w:rsidRPr="001C6D8A">
        <w:rPr>
          <w:rStyle w:val="selectable"/>
          <w:rFonts w:ascii="Arial" w:eastAsiaTheme="majorEastAsia" w:hAnsi="Arial" w:cs="Arial"/>
          <w:color w:val="000000" w:themeColor="text1"/>
          <w:szCs w:val="24"/>
        </w:rPr>
        <w:t>.</w:t>
      </w:r>
    </w:p>
    <w:p w14:paraId="265252BF" w14:textId="77777777" w:rsidR="00D32E52" w:rsidRPr="001C6D8A" w:rsidRDefault="00D32E52" w:rsidP="00D32E52">
      <w:pPr>
        <w:spacing w:line="360" w:lineRule="auto"/>
        <w:ind w:left="567" w:hanging="567"/>
        <w:jc w:val="both"/>
        <w:rPr>
          <w:rStyle w:val="selectable"/>
          <w:rFonts w:ascii="Arial" w:hAnsi="Arial" w:cs="Arial"/>
          <w:color w:val="000000" w:themeColor="text1"/>
          <w:szCs w:val="24"/>
        </w:rPr>
      </w:pPr>
      <w:r w:rsidRPr="009B50E8">
        <w:rPr>
          <w:rFonts w:ascii="Arial" w:hAnsi="Arial" w:cs="Arial"/>
          <w:b/>
          <w:bCs/>
          <w:color w:val="ED7D31" w:themeColor="accent2"/>
          <w:szCs w:val="24"/>
          <w:shd w:val="clear" w:color="auto" w:fill="FFFFFF"/>
          <w:vertAlign w:val="superscript"/>
        </w:rPr>
        <w:t>(2)</w:t>
      </w:r>
      <w:r w:rsidRPr="009B50E8">
        <w:rPr>
          <w:rFonts w:ascii="Arial" w:hAnsi="Arial" w:cs="Arial"/>
          <w:color w:val="ED7D31" w:themeColor="accent2"/>
          <w:szCs w:val="24"/>
          <w:shd w:val="clear" w:color="auto" w:fill="FFFFFF"/>
        </w:rPr>
        <w:t xml:space="preserve"> </w:t>
      </w:r>
      <w:r w:rsidRPr="001C6D8A">
        <w:rPr>
          <w:rFonts w:ascii="Arial" w:hAnsi="Arial" w:cs="Arial"/>
          <w:color w:val="000000" w:themeColor="text1"/>
          <w:szCs w:val="24"/>
          <w:shd w:val="clear" w:color="auto" w:fill="FFFFFF"/>
        </w:rPr>
        <w:t>Saeedi, T. (2019). World Bank sees Pakistan’s digital finance potential at $36 billion. Retrieved 11 April 2021, from https://www.thenews.com.pk/print/537929-world-bank-sees-pakistan-s-digital-finance-potential-at-36-billion</w:t>
      </w:r>
    </w:p>
    <w:p w14:paraId="3F3D21F5" w14:textId="77777777" w:rsidR="00D32E52" w:rsidRPr="008B6228" w:rsidRDefault="00D32E52" w:rsidP="00D32E52">
      <w:pPr>
        <w:spacing w:line="360" w:lineRule="auto"/>
        <w:jc w:val="both"/>
        <w:rPr>
          <w:rStyle w:val="selectable"/>
          <w:rFonts w:ascii="Arial" w:hAnsi="Arial" w:cs="Arial"/>
          <w:color w:val="000000" w:themeColor="text1"/>
          <w:szCs w:val="24"/>
        </w:rPr>
      </w:pPr>
      <w:r w:rsidRPr="009B50E8">
        <w:rPr>
          <w:rStyle w:val="selectable"/>
          <w:rFonts w:ascii="Arial" w:eastAsiaTheme="majorEastAsia" w:hAnsi="Arial" w:cs="Arial"/>
          <w:b/>
          <w:bCs/>
          <w:color w:val="ED7D31" w:themeColor="accent2"/>
          <w:szCs w:val="24"/>
          <w:vertAlign w:val="superscript"/>
        </w:rPr>
        <w:t>(3)</w:t>
      </w:r>
      <w:r w:rsidRPr="009B50E8">
        <w:rPr>
          <w:rStyle w:val="selectable"/>
          <w:rFonts w:ascii="Arial" w:eastAsiaTheme="majorEastAsia" w:hAnsi="Arial" w:cs="Arial"/>
          <w:color w:val="ED7D31" w:themeColor="accent2"/>
          <w:szCs w:val="24"/>
        </w:rPr>
        <w:t xml:space="preserve"> </w:t>
      </w:r>
      <w:r w:rsidRPr="001C6D8A">
        <w:rPr>
          <w:rStyle w:val="selectable"/>
          <w:rFonts w:ascii="Arial" w:eastAsiaTheme="majorEastAsia" w:hAnsi="Arial" w:cs="Arial"/>
          <w:color w:val="000000" w:themeColor="text1"/>
          <w:szCs w:val="24"/>
        </w:rPr>
        <w:t xml:space="preserve">Karandaaz. (2017). Karandaaz.com.pk. Retrieved 17 April 2021, from </w:t>
      </w:r>
      <w:hyperlink r:id="rId12" w:history="1">
        <w:r w:rsidRPr="001C6D8A">
          <w:rPr>
            <w:rStyle w:val="Hyperlink"/>
            <w:rFonts w:ascii="Arial" w:eastAsiaTheme="majorEastAsia" w:hAnsi="Arial" w:cs="Arial"/>
            <w:color w:val="000000" w:themeColor="text1"/>
            <w:szCs w:val="24"/>
          </w:rPr>
          <w:t>https://karandaaz.com.pk/wp-content/uploads/2017/02/Seeding-Innovation.pdf</w:t>
        </w:r>
      </w:hyperlink>
      <w:r w:rsidRPr="001C6D8A">
        <w:rPr>
          <w:rStyle w:val="selectable"/>
          <w:rFonts w:ascii="Arial" w:eastAsiaTheme="majorEastAsia" w:hAnsi="Arial" w:cs="Arial"/>
          <w:color w:val="000000" w:themeColor="text1"/>
          <w:szCs w:val="24"/>
        </w:rPr>
        <w:t>..</w:t>
      </w:r>
    </w:p>
    <w:p w14:paraId="274C932A" w14:textId="77777777" w:rsidR="00D32E52" w:rsidRPr="001C6D8A" w:rsidRDefault="00D32E52" w:rsidP="00D32E52">
      <w:pPr>
        <w:spacing w:line="360" w:lineRule="auto"/>
        <w:ind w:left="567" w:hanging="567"/>
        <w:jc w:val="both"/>
        <w:rPr>
          <w:rFonts w:ascii="Arial" w:hAnsi="Arial" w:cs="Arial"/>
          <w:color w:val="000000"/>
          <w:szCs w:val="24"/>
          <w:shd w:val="clear" w:color="auto" w:fill="FFFFFF"/>
        </w:rPr>
      </w:pPr>
      <w:r w:rsidRPr="009B50E8">
        <w:rPr>
          <w:rFonts w:ascii="Arial" w:hAnsi="Arial" w:cs="Arial"/>
          <w:b/>
          <w:bCs/>
          <w:color w:val="ED7D31" w:themeColor="accent2"/>
          <w:szCs w:val="24"/>
          <w:shd w:val="clear" w:color="auto" w:fill="FFFFFF"/>
          <w:vertAlign w:val="superscript"/>
        </w:rPr>
        <w:t>(4)</w:t>
      </w:r>
      <w:r w:rsidRPr="009B50E8">
        <w:rPr>
          <w:rFonts w:ascii="Arial" w:hAnsi="Arial" w:cs="Arial"/>
          <w:color w:val="ED7D31" w:themeColor="accent2"/>
          <w:szCs w:val="24"/>
          <w:shd w:val="clear" w:color="auto" w:fill="FFFFFF"/>
        </w:rPr>
        <w:t xml:space="preserve">  </w:t>
      </w:r>
      <w:r w:rsidRPr="001C6D8A">
        <w:rPr>
          <w:rFonts w:ascii="Arial" w:hAnsi="Arial" w:cs="Arial"/>
          <w:color w:val="000000"/>
          <w:szCs w:val="24"/>
          <w:shd w:val="clear" w:color="auto" w:fill="FFFFFF"/>
        </w:rPr>
        <w:t>Khan, M., 2021. </w:t>
      </w:r>
      <w:r w:rsidRPr="001C6D8A">
        <w:rPr>
          <w:rFonts w:ascii="Arial" w:hAnsi="Arial" w:cs="Arial"/>
          <w:i/>
          <w:iCs/>
          <w:color w:val="000000"/>
          <w:szCs w:val="24"/>
          <w:shd w:val="clear" w:color="auto" w:fill="FFFFFF"/>
        </w:rPr>
        <w:t>Digital banks: still a distant dream</w:t>
      </w:r>
      <w:r w:rsidRPr="001C6D8A">
        <w:rPr>
          <w:rFonts w:ascii="Arial" w:hAnsi="Arial" w:cs="Arial"/>
          <w:color w:val="000000"/>
          <w:szCs w:val="24"/>
          <w:shd w:val="clear" w:color="auto" w:fill="FFFFFF"/>
        </w:rPr>
        <w:t>. [online] DAWN.COM. Available at: &lt;https://www.dawn.com/news/1615244/digital-banks-still-a-distant-dream&gt; [Accessed 21 April 2021].</w:t>
      </w:r>
    </w:p>
    <w:p w14:paraId="3FB67FF5" w14:textId="77777777" w:rsidR="00D32E52" w:rsidRPr="001C6D8A" w:rsidRDefault="00D32E52" w:rsidP="00D32E52">
      <w:pPr>
        <w:spacing w:line="360" w:lineRule="auto"/>
        <w:ind w:left="567" w:hanging="567"/>
        <w:jc w:val="both"/>
        <w:rPr>
          <w:rFonts w:ascii="Arial" w:hAnsi="Arial" w:cs="Arial"/>
          <w:color w:val="000000" w:themeColor="text1"/>
          <w:szCs w:val="24"/>
          <w:shd w:val="clear" w:color="auto" w:fill="FFFFFF"/>
        </w:rPr>
      </w:pPr>
      <w:r w:rsidRPr="009B50E8">
        <w:rPr>
          <w:rFonts w:ascii="Arial" w:hAnsi="Arial" w:cs="Arial"/>
          <w:b/>
          <w:bCs/>
          <w:color w:val="ED7D31" w:themeColor="accent2"/>
          <w:szCs w:val="24"/>
          <w:shd w:val="clear" w:color="auto" w:fill="FFFFFF"/>
          <w:vertAlign w:val="superscript"/>
        </w:rPr>
        <w:t>(5)</w:t>
      </w:r>
      <w:r w:rsidRPr="009B50E8">
        <w:rPr>
          <w:rFonts w:ascii="Arial" w:hAnsi="Arial" w:cs="Arial"/>
          <w:color w:val="ED7D31" w:themeColor="accent2"/>
          <w:szCs w:val="24"/>
          <w:shd w:val="clear" w:color="auto" w:fill="FFFFFF"/>
        </w:rPr>
        <w:t xml:space="preserve"> </w:t>
      </w:r>
      <w:r w:rsidRPr="001C6D8A">
        <w:rPr>
          <w:rFonts w:ascii="Arial" w:hAnsi="Arial" w:cs="Arial"/>
          <w:color w:val="000000" w:themeColor="text1"/>
          <w:szCs w:val="24"/>
          <w:shd w:val="clear" w:color="auto" w:fill="FFFFFF"/>
        </w:rPr>
        <w:t>State Bank of Pakistan, 2018. </w:t>
      </w:r>
      <w:r w:rsidRPr="001C6D8A">
        <w:rPr>
          <w:rFonts w:ascii="Arial" w:hAnsi="Arial" w:cs="Arial"/>
          <w:i/>
          <w:iCs/>
          <w:color w:val="000000" w:themeColor="text1"/>
          <w:szCs w:val="24"/>
          <w:shd w:val="clear" w:color="auto" w:fill="FFFFFF"/>
        </w:rPr>
        <w:t>Digitization of Services in Pakistan</w:t>
      </w:r>
      <w:r w:rsidRPr="001C6D8A">
        <w:rPr>
          <w:rFonts w:ascii="Arial" w:hAnsi="Arial" w:cs="Arial"/>
          <w:color w:val="000000" w:themeColor="text1"/>
          <w:szCs w:val="24"/>
          <w:shd w:val="clear" w:color="auto" w:fill="FFFFFF"/>
        </w:rPr>
        <w:t>. [online] Sbp.org.pk. Available at: &lt;https://www.sbp.org.pk/reports/annual/arFY18/Chapter-07.pdf&gt; [Accessed 21 April 2021].</w:t>
      </w:r>
    </w:p>
    <w:p w14:paraId="5757C1B4" w14:textId="77777777" w:rsidR="00D32E52" w:rsidRPr="001C6D8A" w:rsidRDefault="00D32E52" w:rsidP="00D32E52">
      <w:pPr>
        <w:spacing w:line="360" w:lineRule="auto"/>
        <w:ind w:left="567" w:hanging="567"/>
        <w:jc w:val="both"/>
        <w:rPr>
          <w:rFonts w:ascii="Arial" w:hAnsi="Arial" w:cs="Arial"/>
          <w:color w:val="000000" w:themeColor="text1"/>
          <w:szCs w:val="24"/>
          <w:shd w:val="clear" w:color="auto" w:fill="FFFFFF"/>
        </w:rPr>
      </w:pPr>
      <w:r w:rsidRPr="009B50E8">
        <w:rPr>
          <w:rFonts w:ascii="Arial" w:hAnsi="Arial" w:cs="Arial"/>
          <w:b/>
          <w:bCs/>
          <w:color w:val="ED7D31" w:themeColor="accent2"/>
          <w:szCs w:val="24"/>
          <w:shd w:val="clear" w:color="auto" w:fill="FFFFFF"/>
          <w:vertAlign w:val="superscript"/>
        </w:rPr>
        <w:t>(6)</w:t>
      </w:r>
      <w:r w:rsidRPr="009B50E8">
        <w:rPr>
          <w:rFonts w:ascii="Arial" w:hAnsi="Arial" w:cs="Arial"/>
          <w:color w:val="ED7D31" w:themeColor="accent2"/>
          <w:szCs w:val="24"/>
          <w:shd w:val="clear" w:color="auto" w:fill="FFFFFF"/>
        </w:rPr>
        <w:t xml:space="preserve"> </w:t>
      </w:r>
      <w:r w:rsidRPr="001C6D8A">
        <w:rPr>
          <w:rFonts w:ascii="Arial" w:hAnsi="Arial" w:cs="Arial"/>
          <w:color w:val="000000" w:themeColor="text1"/>
          <w:szCs w:val="24"/>
          <w:shd w:val="clear" w:color="auto" w:fill="FFFFFF"/>
        </w:rPr>
        <w:t>Research, B., 2018. </w:t>
      </w:r>
      <w:r w:rsidRPr="001C6D8A">
        <w:rPr>
          <w:rFonts w:ascii="Arial" w:hAnsi="Arial" w:cs="Arial"/>
          <w:i/>
          <w:iCs/>
          <w:color w:val="000000" w:themeColor="text1"/>
          <w:szCs w:val="24"/>
          <w:shd w:val="clear" w:color="auto" w:fill="FFFFFF"/>
        </w:rPr>
        <w:t>‘Digital startups lack access to capital’</w:t>
      </w:r>
      <w:r w:rsidRPr="001C6D8A">
        <w:rPr>
          <w:rFonts w:ascii="Arial" w:hAnsi="Arial" w:cs="Arial"/>
          <w:color w:val="000000" w:themeColor="text1"/>
          <w:szCs w:val="24"/>
          <w:shd w:val="clear" w:color="auto" w:fill="FFFFFF"/>
        </w:rPr>
        <w:t>. [online] Business recorder. Available at: &lt;https://www.brecorder.com/news/441465&gt; [Accessed 21 April 2021].</w:t>
      </w:r>
    </w:p>
    <w:p w14:paraId="5CAEFF37" w14:textId="77777777" w:rsidR="00D32E52" w:rsidRPr="001C6D8A" w:rsidRDefault="00D32E52" w:rsidP="00D32E52">
      <w:pPr>
        <w:spacing w:line="360" w:lineRule="auto"/>
        <w:ind w:left="567" w:hanging="567"/>
        <w:jc w:val="both"/>
        <w:rPr>
          <w:rStyle w:val="selectable"/>
          <w:rFonts w:ascii="Arial" w:eastAsiaTheme="majorEastAsia" w:hAnsi="Arial" w:cs="Arial"/>
          <w:color w:val="000000" w:themeColor="text1"/>
          <w:szCs w:val="24"/>
        </w:rPr>
      </w:pPr>
      <w:r w:rsidRPr="009B50E8">
        <w:rPr>
          <w:rStyle w:val="selectable"/>
          <w:rFonts w:ascii="Arial" w:eastAsiaTheme="majorEastAsia" w:hAnsi="Arial" w:cs="Arial"/>
          <w:b/>
          <w:bCs/>
          <w:color w:val="ED7D31" w:themeColor="accent2"/>
          <w:szCs w:val="24"/>
          <w:vertAlign w:val="superscript"/>
        </w:rPr>
        <w:t>(7)</w:t>
      </w:r>
      <w:r w:rsidRPr="009B50E8">
        <w:rPr>
          <w:rStyle w:val="selectable"/>
          <w:rFonts w:ascii="Arial" w:eastAsiaTheme="majorEastAsia" w:hAnsi="Arial" w:cs="Arial"/>
          <w:color w:val="ED7D31" w:themeColor="accent2"/>
          <w:szCs w:val="24"/>
        </w:rPr>
        <w:t xml:space="preserve"> </w:t>
      </w:r>
      <w:r w:rsidRPr="001C6D8A">
        <w:rPr>
          <w:rStyle w:val="selectable"/>
          <w:rFonts w:ascii="Arial" w:eastAsiaTheme="majorEastAsia" w:hAnsi="Arial" w:cs="Arial"/>
          <w:color w:val="000000" w:themeColor="text1"/>
          <w:szCs w:val="24"/>
        </w:rPr>
        <w:t xml:space="preserve">Techjuice. (2020). </w:t>
      </w:r>
      <w:r w:rsidRPr="001C6D8A">
        <w:rPr>
          <w:rStyle w:val="selectable"/>
          <w:rFonts w:ascii="Arial" w:eastAsiaTheme="majorEastAsia" w:hAnsi="Arial" w:cs="Arial"/>
          <w:i/>
          <w:iCs/>
          <w:color w:val="000000" w:themeColor="text1"/>
          <w:szCs w:val="24"/>
        </w:rPr>
        <w:t>FinTech in Pakistan: Challenges, Opportunities and Recommendations</w:t>
      </w:r>
      <w:r w:rsidRPr="001C6D8A">
        <w:rPr>
          <w:rStyle w:val="selectable"/>
          <w:rFonts w:ascii="Arial" w:eastAsiaTheme="majorEastAsia" w:hAnsi="Arial" w:cs="Arial"/>
          <w:color w:val="000000" w:themeColor="text1"/>
          <w:szCs w:val="24"/>
        </w:rPr>
        <w:t xml:space="preserve">. TechJuice. Retrieved 11 April 2021, from </w:t>
      </w:r>
      <w:hyperlink r:id="rId13" w:history="1">
        <w:r w:rsidRPr="001C6D8A">
          <w:rPr>
            <w:rStyle w:val="Hyperlink"/>
            <w:rFonts w:ascii="Arial" w:eastAsiaTheme="majorEastAsia" w:hAnsi="Arial" w:cs="Arial"/>
            <w:color w:val="000000" w:themeColor="text1"/>
            <w:szCs w:val="24"/>
          </w:rPr>
          <w:t>https://www.techjuice.pk/fintech-in-pakistan-challenges-opportunities-and-recommendations/</w:t>
        </w:r>
      </w:hyperlink>
      <w:r w:rsidRPr="001C6D8A">
        <w:rPr>
          <w:rStyle w:val="selectable"/>
          <w:rFonts w:ascii="Arial" w:eastAsiaTheme="majorEastAsia" w:hAnsi="Arial" w:cs="Arial"/>
          <w:color w:val="000000" w:themeColor="text1"/>
          <w:szCs w:val="24"/>
        </w:rPr>
        <w:t>.</w:t>
      </w:r>
    </w:p>
    <w:p w14:paraId="4081BF3E" w14:textId="77777777" w:rsidR="00D32E52" w:rsidRPr="009B50E8" w:rsidRDefault="00D32E52" w:rsidP="00D32E52">
      <w:pPr>
        <w:spacing w:line="360" w:lineRule="auto"/>
        <w:ind w:left="562" w:hanging="562"/>
        <w:jc w:val="both"/>
        <w:rPr>
          <w:rStyle w:val="selectable"/>
          <w:rFonts w:ascii="Arial" w:hAnsi="Arial" w:cs="Arial"/>
          <w:color w:val="000000" w:themeColor="text1"/>
          <w:szCs w:val="24"/>
        </w:rPr>
      </w:pPr>
      <w:r w:rsidRPr="009B50E8">
        <w:rPr>
          <w:rFonts w:ascii="Arial" w:hAnsi="Arial" w:cs="Arial"/>
          <w:b/>
          <w:bCs/>
          <w:color w:val="ED7D31" w:themeColor="accent2"/>
          <w:szCs w:val="24"/>
          <w:vertAlign w:val="superscript"/>
        </w:rPr>
        <w:t>(8)</w:t>
      </w:r>
      <w:r w:rsidRPr="009B50E8">
        <w:rPr>
          <w:rFonts w:ascii="Arial" w:hAnsi="Arial" w:cs="Arial"/>
          <w:color w:val="ED7D31" w:themeColor="accent2"/>
          <w:szCs w:val="24"/>
        </w:rPr>
        <w:t xml:space="preserve">  </w:t>
      </w:r>
      <w:r w:rsidRPr="001C6D8A">
        <w:rPr>
          <w:rFonts w:ascii="Arial" w:hAnsi="Arial" w:cs="Arial"/>
          <w:color w:val="000000" w:themeColor="text1"/>
          <w:szCs w:val="24"/>
        </w:rPr>
        <w:t xml:space="preserve">Butt, S., &amp; Khan, Z. A. (2019). Fintech in Pakistan: a qualitative study of bank’s strategic planning for an investment in fin-tech company and its challenges. </w:t>
      </w:r>
      <w:r w:rsidRPr="001C6D8A">
        <w:rPr>
          <w:rFonts w:ascii="Arial" w:hAnsi="Arial" w:cs="Arial"/>
          <w:i/>
          <w:iCs/>
          <w:color w:val="000000" w:themeColor="text1"/>
          <w:szCs w:val="24"/>
        </w:rPr>
        <w:t>Independent Journal of Management &amp; Production</w:t>
      </w:r>
      <w:r w:rsidRPr="001C6D8A">
        <w:rPr>
          <w:rFonts w:ascii="Arial" w:hAnsi="Arial" w:cs="Arial"/>
          <w:color w:val="000000" w:themeColor="text1"/>
          <w:szCs w:val="24"/>
        </w:rPr>
        <w:t xml:space="preserve">, </w:t>
      </w:r>
      <w:r w:rsidRPr="001C6D8A">
        <w:rPr>
          <w:rFonts w:ascii="Arial" w:hAnsi="Arial" w:cs="Arial"/>
          <w:i/>
          <w:iCs/>
          <w:color w:val="000000" w:themeColor="text1"/>
          <w:szCs w:val="24"/>
        </w:rPr>
        <w:t>10</w:t>
      </w:r>
      <w:r w:rsidRPr="001C6D8A">
        <w:rPr>
          <w:rFonts w:ascii="Arial" w:hAnsi="Arial" w:cs="Arial"/>
          <w:color w:val="000000" w:themeColor="text1"/>
          <w:szCs w:val="24"/>
        </w:rPr>
        <w:t>(6), 2092-2101.</w:t>
      </w:r>
    </w:p>
    <w:p w14:paraId="4C927455" w14:textId="77777777" w:rsidR="00D32E52" w:rsidRDefault="00D32E52" w:rsidP="00D32E52">
      <w:pPr>
        <w:spacing w:line="360" w:lineRule="auto"/>
        <w:jc w:val="both"/>
        <w:rPr>
          <w:rFonts w:ascii="Arial" w:hAnsi="Arial" w:cs="Arial"/>
          <w:color w:val="000000"/>
          <w:szCs w:val="24"/>
          <w:shd w:val="clear" w:color="auto" w:fill="FFFFFF"/>
        </w:rPr>
      </w:pPr>
      <w:r w:rsidRPr="009B50E8">
        <w:rPr>
          <w:rFonts w:ascii="Arial" w:hAnsi="Arial" w:cs="Arial"/>
          <w:b/>
          <w:bCs/>
          <w:color w:val="ED7D31" w:themeColor="accent2"/>
          <w:szCs w:val="24"/>
          <w:shd w:val="clear" w:color="auto" w:fill="FFFFFF"/>
          <w:vertAlign w:val="superscript"/>
        </w:rPr>
        <w:t>(9)</w:t>
      </w:r>
      <w:r w:rsidRPr="009B50E8">
        <w:rPr>
          <w:rFonts w:ascii="Arial" w:hAnsi="Arial" w:cs="Arial"/>
          <w:color w:val="ED7D31" w:themeColor="accent2"/>
          <w:szCs w:val="24"/>
          <w:shd w:val="clear" w:color="auto" w:fill="FFFFFF"/>
        </w:rPr>
        <w:t xml:space="preserve">  </w:t>
      </w:r>
      <w:r w:rsidRPr="001C6D8A">
        <w:rPr>
          <w:rFonts w:ascii="Arial" w:hAnsi="Arial" w:cs="Arial"/>
          <w:color w:val="000000"/>
          <w:szCs w:val="24"/>
          <w:shd w:val="clear" w:color="auto" w:fill="FFFFFF"/>
        </w:rPr>
        <w:t>World Bank, 2017. </w:t>
      </w:r>
      <w:r w:rsidRPr="001C6D8A">
        <w:rPr>
          <w:rFonts w:ascii="Arial" w:hAnsi="Arial" w:cs="Arial"/>
          <w:i/>
          <w:iCs/>
          <w:color w:val="000000"/>
          <w:szCs w:val="24"/>
          <w:shd w:val="clear" w:color="auto" w:fill="FFFFFF"/>
        </w:rPr>
        <w:t>G20 Financial Inclusion Indicators | Pakistan | The World Bank</w:t>
      </w:r>
      <w:r w:rsidRPr="001C6D8A">
        <w:rPr>
          <w:rFonts w:ascii="Arial" w:hAnsi="Arial" w:cs="Arial"/>
          <w:color w:val="000000"/>
          <w:szCs w:val="24"/>
          <w:shd w:val="clear" w:color="auto" w:fill="FFFFFF"/>
        </w:rPr>
        <w:t xml:space="preserve">. </w:t>
      </w:r>
      <w:r>
        <w:rPr>
          <w:rFonts w:ascii="Arial" w:hAnsi="Arial" w:cs="Arial"/>
          <w:color w:val="000000"/>
          <w:szCs w:val="24"/>
          <w:shd w:val="clear" w:color="auto" w:fill="FFFFFF"/>
        </w:rPr>
        <w:t xml:space="preserve">     </w:t>
      </w:r>
      <w:r w:rsidRPr="001C6D8A">
        <w:rPr>
          <w:rFonts w:ascii="Arial" w:hAnsi="Arial" w:cs="Arial"/>
          <w:color w:val="000000"/>
          <w:szCs w:val="24"/>
          <w:shd w:val="clear" w:color="auto" w:fill="FFFFFF"/>
        </w:rPr>
        <w:t>[online] Datatopics.worldbank.org. Available at: &lt;https://datatopics.worldbank.org/g20fidata/country/pakistan#&gt; [Accessed 21 April 2021].</w:t>
      </w:r>
    </w:p>
    <w:p w14:paraId="2985AD4F" w14:textId="77777777" w:rsidR="00D32E52" w:rsidRPr="00165F8B" w:rsidRDefault="00D32E52" w:rsidP="00D32E52">
      <w:pPr>
        <w:spacing w:line="360" w:lineRule="auto"/>
        <w:ind w:left="720" w:hanging="720"/>
        <w:jc w:val="both"/>
        <w:rPr>
          <w:rFonts w:ascii="Arial" w:hAnsi="Arial" w:cs="Arial"/>
          <w:color w:val="000000"/>
          <w:szCs w:val="24"/>
          <w:shd w:val="clear" w:color="auto" w:fill="FFFFFF"/>
        </w:rPr>
      </w:pPr>
      <w:r w:rsidRPr="00165F8B">
        <w:rPr>
          <w:rFonts w:ascii="Arial" w:hAnsi="Arial" w:cs="Arial"/>
          <w:b/>
          <w:bCs/>
          <w:color w:val="ED7D31" w:themeColor="accent2"/>
          <w:szCs w:val="24"/>
          <w:shd w:val="clear" w:color="auto" w:fill="FFFFFF"/>
          <w:vertAlign w:val="superscript"/>
        </w:rPr>
        <w:t>(10)</w:t>
      </w:r>
      <w:r w:rsidRPr="00165F8B">
        <w:rPr>
          <w:rFonts w:ascii="Arial" w:hAnsi="Arial" w:cs="Arial"/>
          <w:color w:val="ED7D31" w:themeColor="accent2"/>
          <w:szCs w:val="24"/>
          <w:shd w:val="clear" w:color="auto" w:fill="FFFFFF"/>
        </w:rPr>
        <w:t xml:space="preserve"> </w:t>
      </w:r>
      <w:r w:rsidRPr="00165F8B">
        <w:rPr>
          <w:rFonts w:ascii="Arial" w:hAnsi="Arial" w:cs="Arial"/>
          <w:color w:val="000000"/>
          <w:szCs w:val="24"/>
          <w:shd w:val="clear" w:color="auto" w:fill="FFFFFF"/>
        </w:rPr>
        <w:t xml:space="preserve">Okeleke, K. (2019). The power of mobile to accelerate digital transformation in Pakistan. Retrieved 19 May 2021, from </w:t>
      </w:r>
      <w:hyperlink r:id="rId14" w:history="1">
        <w:r w:rsidRPr="00165F8B">
          <w:rPr>
            <w:rStyle w:val="Hyperlink"/>
            <w:rFonts w:ascii="Arial" w:hAnsi="Arial" w:cs="Arial"/>
            <w:szCs w:val="24"/>
            <w:shd w:val="clear" w:color="auto" w:fill="FFFFFF"/>
          </w:rPr>
          <w:t>https://www.gsma.com/mobilefordevelopment/wp-content/uploads/2020/06/The-Power-of-Mobile-to-Accelerate-Digital-Transformation-in-Pakistan-2019.pdf</w:t>
        </w:r>
      </w:hyperlink>
    </w:p>
    <w:p w14:paraId="08566DAB" w14:textId="77777777" w:rsidR="00D32E52" w:rsidRPr="00165F8B" w:rsidRDefault="00D32E52" w:rsidP="00D32E52">
      <w:pPr>
        <w:spacing w:line="360" w:lineRule="auto"/>
        <w:ind w:left="720" w:hanging="720"/>
        <w:jc w:val="both"/>
        <w:rPr>
          <w:rFonts w:ascii="Arial" w:hAnsi="Arial" w:cs="Arial"/>
          <w:color w:val="000000"/>
          <w:szCs w:val="24"/>
          <w:shd w:val="clear" w:color="auto" w:fill="FFFFFF"/>
        </w:rPr>
      </w:pPr>
      <w:r w:rsidRPr="00165F8B">
        <w:rPr>
          <w:rFonts w:ascii="Arial" w:hAnsi="Arial" w:cs="Arial"/>
          <w:b/>
          <w:bCs/>
          <w:color w:val="ED7D31" w:themeColor="accent2"/>
          <w:szCs w:val="24"/>
          <w:shd w:val="clear" w:color="auto" w:fill="FFFFFF"/>
          <w:vertAlign w:val="superscript"/>
        </w:rPr>
        <w:t>(11)</w:t>
      </w:r>
      <w:r w:rsidRPr="00165F8B">
        <w:rPr>
          <w:rFonts w:ascii="Arial" w:hAnsi="Arial" w:cs="Arial"/>
          <w:color w:val="ED7D31" w:themeColor="accent2"/>
          <w:szCs w:val="24"/>
          <w:shd w:val="clear" w:color="auto" w:fill="FFFFFF"/>
        </w:rPr>
        <w:t xml:space="preserve"> </w:t>
      </w:r>
      <w:r w:rsidRPr="00165F8B">
        <w:rPr>
          <w:rFonts w:ascii="Arial" w:hAnsi="Arial" w:cs="Arial"/>
          <w:color w:val="000000"/>
          <w:szCs w:val="24"/>
          <w:shd w:val="clear" w:color="auto" w:fill="FFFFFF"/>
        </w:rPr>
        <w:t xml:space="preserve">Kantar. (2017). Pakistan · Financial Inclusion Insights from Kantar. Retrieved 19 May 2021, from </w:t>
      </w:r>
      <w:hyperlink r:id="rId15" w:history="1">
        <w:r w:rsidRPr="00165F8B">
          <w:rPr>
            <w:rStyle w:val="Hyperlink"/>
            <w:rFonts w:ascii="Arial" w:hAnsi="Arial" w:cs="Arial"/>
            <w:szCs w:val="24"/>
            <w:shd w:val="clear" w:color="auto" w:fill="FFFFFF"/>
          </w:rPr>
          <w:t>https://finclusion.org/country/asia/pakistan.html#dataAtAGlance</w:t>
        </w:r>
      </w:hyperlink>
    </w:p>
    <w:p w14:paraId="76B9F4E9" w14:textId="77777777" w:rsidR="00D32E52" w:rsidRPr="00165F8B" w:rsidRDefault="00D32E52" w:rsidP="00D32E52">
      <w:pPr>
        <w:spacing w:line="360" w:lineRule="auto"/>
        <w:ind w:left="720" w:hanging="720"/>
        <w:jc w:val="both"/>
        <w:rPr>
          <w:rFonts w:ascii="Arial" w:hAnsi="Arial" w:cs="Arial"/>
          <w:color w:val="000000"/>
          <w:szCs w:val="24"/>
          <w:shd w:val="clear" w:color="auto" w:fill="FFFFFF"/>
        </w:rPr>
      </w:pPr>
      <w:r w:rsidRPr="00165F8B">
        <w:rPr>
          <w:rFonts w:ascii="Arial" w:hAnsi="Arial" w:cs="Arial"/>
          <w:b/>
          <w:bCs/>
          <w:color w:val="ED7D31" w:themeColor="accent2"/>
          <w:szCs w:val="24"/>
          <w:shd w:val="clear" w:color="auto" w:fill="FFFFFF"/>
          <w:vertAlign w:val="superscript"/>
        </w:rPr>
        <w:t>(12)</w:t>
      </w:r>
      <w:r w:rsidRPr="00165F8B">
        <w:rPr>
          <w:rFonts w:ascii="Arial" w:hAnsi="Arial" w:cs="Arial"/>
          <w:color w:val="ED7D31" w:themeColor="accent2"/>
          <w:szCs w:val="24"/>
          <w:shd w:val="clear" w:color="auto" w:fill="FFFFFF"/>
        </w:rPr>
        <w:t xml:space="preserve"> </w:t>
      </w:r>
      <w:r w:rsidRPr="00165F8B">
        <w:rPr>
          <w:rFonts w:ascii="Arial" w:hAnsi="Arial" w:cs="Arial"/>
          <w:color w:val="000000"/>
          <w:szCs w:val="24"/>
          <w:shd w:val="clear" w:color="auto" w:fill="FFFFFF"/>
        </w:rPr>
        <w:t xml:space="preserve">Karandaaz. Financial Access &amp; Behaviour of Individuals. Retrieved 20 May 2021, from </w:t>
      </w:r>
      <w:hyperlink r:id="rId16" w:history="1">
        <w:r w:rsidRPr="00165F8B">
          <w:rPr>
            <w:rStyle w:val="Hyperlink"/>
            <w:rFonts w:ascii="Arial" w:hAnsi="Arial" w:cs="Arial"/>
            <w:szCs w:val="24"/>
            <w:shd w:val="clear" w:color="auto" w:fill="FFFFFF"/>
          </w:rPr>
          <w:t>https://portal.karandaaz.com.pk/category/financial-access-individual-behaviour/2011</w:t>
        </w:r>
      </w:hyperlink>
    </w:p>
    <w:p w14:paraId="56F58CE6" w14:textId="77777777" w:rsidR="00D32E52" w:rsidRPr="00165F8B" w:rsidRDefault="00D32E52" w:rsidP="00D32E52">
      <w:pPr>
        <w:spacing w:line="360" w:lineRule="auto"/>
        <w:ind w:left="720" w:hanging="720"/>
        <w:jc w:val="both"/>
        <w:rPr>
          <w:rFonts w:ascii="Arial" w:hAnsi="Arial" w:cs="Arial"/>
          <w:color w:val="000000"/>
          <w:szCs w:val="24"/>
          <w:shd w:val="clear" w:color="auto" w:fill="FFFFFF"/>
        </w:rPr>
      </w:pPr>
      <w:r w:rsidRPr="00165F8B">
        <w:rPr>
          <w:rFonts w:ascii="Arial" w:hAnsi="Arial" w:cs="Arial"/>
          <w:b/>
          <w:bCs/>
          <w:color w:val="ED7D31" w:themeColor="accent2"/>
          <w:szCs w:val="24"/>
          <w:shd w:val="clear" w:color="auto" w:fill="FFFFFF"/>
          <w:vertAlign w:val="superscript"/>
        </w:rPr>
        <w:t>(13)</w:t>
      </w:r>
      <w:r w:rsidRPr="00165F8B">
        <w:rPr>
          <w:rFonts w:ascii="Arial" w:hAnsi="Arial" w:cs="Arial"/>
          <w:color w:val="ED7D31" w:themeColor="accent2"/>
          <w:szCs w:val="24"/>
          <w:shd w:val="clear" w:color="auto" w:fill="FFFFFF"/>
        </w:rPr>
        <w:t xml:space="preserve"> </w:t>
      </w:r>
      <w:r w:rsidRPr="00165F8B">
        <w:rPr>
          <w:rFonts w:ascii="Arial" w:hAnsi="Arial" w:cs="Arial"/>
          <w:color w:val="000000"/>
          <w:szCs w:val="24"/>
          <w:shd w:val="clear" w:color="auto" w:fill="FFFFFF"/>
        </w:rPr>
        <w:t xml:space="preserve">Tellimer Research. The ultimate guide to Pakistan fintech | Tellimer. Retrieved 20 May 2021, from </w:t>
      </w:r>
      <w:hyperlink r:id="rId17" w:history="1">
        <w:r w:rsidRPr="00165F8B">
          <w:rPr>
            <w:rStyle w:val="Hyperlink"/>
            <w:rFonts w:ascii="Arial" w:hAnsi="Arial" w:cs="Arial"/>
            <w:szCs w:val="24"/>
            <w:shd w:val="clear" w:color="auto" w:fill="FFFFFF"/>
          </w:rPr>
          <w:t>https://tellimer.com/article/the-ultimate-guide-to-pakistan-fintech</w:t>
        </w:r>
      </w:hyperlink>
    </w:p>
    <w:p w14:paraId="252B2FF1" w14:textId="77777777" w:rsidR="00D32E52" w:rsidRPr="00165F8B" w:rsidRDefault="00D32E52" w:rsidP="00D32E52">
      <w:pPr>
        <w:spacing w:line="360" w:lineRule="auto"/>
        <w:jc w:val="both"/>
        <w:rPr>
          <w:rStyle w:val="selectable"/>
          <w:rFonts w:ascii="Arial" w:hAnsi="Arial" w:cs="Arial"/>
          <w:color w:val="000000"/>
          <w:szCs w:val="24"/>
          <w:shd w:val="clear" w:color="auto" w:fill="FFFFFF"/>
        </w:rPr>
      </w:pPr>
      <w:r w:rsidRPr="00165F8B">
        <w:rPr>
          <w:rFonts w:ascii="Arial" w:hAnsi="Arial" w:cs="Arial"/>
          <w:b/>
          <w:bCs/>
          <w:color w:val="ED7D31" w:themeColor="accent2"/>
          <w:szCs w:val="24"/>
          <w:shd w:val="clear" w:color="auto" w:fill="FFFFFF"/>
          <w:vertAlign w:val="superscript"/>
        </w:rPr>
        <w:t>(14)</w:t>
      </w:r>
      <w:r w:rsidRPr="00165F8B">
        <w:rPr>
          <w:rFonts w:ascii="Arial" w:hAnsi="Arial" w:cs="Arial"/>
          <w:color w:val="ED7D31" w:themeColor="accent2"/>
          <w:szCs w:val="24"/>
          <w:shd w:val="clear" w:color="auto" w:fill="FFFFFF"/>
        </w:rPr>
        <w:t xml:space="preserve"> </w:t>
      </w:r>
      <w:r w:rsidRPr="00165F8B">
        <w:rPr>
          <w:rFonts w:ascii="Arial" w:hAnsi="Arial" w:cs="Arial"/>
          <w:color w:val="000000"/>
          <w:szCs w:val="24"/>
          <w:shd w:val="clear" w:color="auto" w:fill="FFFFFF"/>
        </w:rPr>
        <w:t>Digital Policy Team. (2019). Financial technology priorities for Pakistan - Digital Pakistan. Retrieved 20 May 2021, from https://digitalpakistan.pk/blog/financial-technology-priorities-for-pakistan/</w:t>
      </w:r>
    </w:p>
    <w:p w14:paraId="04DB08F8" w14:textId="77777777" w:rsidR="00D32E52" w:rsidRPr="001C6D8A" w:rsidRDefault="00D32E52" w:rsidP="00D32E52">
      <w:pPr>
        <w:spacing w:line="360" w:lineRule="auto"/>
        <w:ind w:left="567" w:hanging="567"/>
        <w:jc w:val="both"/>
        <w:rPr>
          <w:rStyle w:val="selectable"/>
          <w:rFonts w:ascii="Arial" w:eastAsiaTheme="majorEastAsia" w:hAnsi="Arial" w:cs="Arial"/>
          <w:color w:val="000000" w:themeColor="text1"/>
          <w:szCs w:val="24"/>
        </w:rPr>
      </w:pPr>
    </w:p>
    <w:p w14:paraId="61F3D275" w14:textId="77777777" w:rsidR="00D32E52" w:rsidRPr="001C6D8A" w:rsidRDefault="00D32E52" w:rsidP="00D32E52">
      <w:pPr>
        <w:spacing w:line="360" w:lineRule="auto"/>
        <w:ind w:left="567" w:hanging="567"/>
        <w:jc w:val="both"/>
        <w:rPr>
          <w:rFonts w:ascii="Arial" w:hAnsi="Arial" w:cs="Arial"/>
          <w:color w:val="000000" w:themeColor="text1"/>
          <w:szCs w:val="24"/>
        </w:rPr>
      </w:pPr>
      <w:r w:rsidRPr="009B50E8">
        <w:rPr>
          <w:rFonts w:ascii="Arial" w:hAnsi="Arial" w:cs="Arial"/>
          <w:b/>
          <w:bCs/>
          <w:color w:val="ED7D31" w:themeColor="accent2"/>
          <w:szCs w:val="24"/>
          <w:vertAlign w:val="superscript"/>
        </w:rPr>
        <w:t>(1</w:t>
      </w:r>
      <w:r>
        <w:rPr>
          <w:rFonts w:ascii="Arial" w:hAnsi="Arial" w:cs="Arial"/>
          <w:b/>
          <w:bCs/>
          <w:color w:val="ED7D31" w:themeColor="accent2"/>
          <w:szCs w:val="24"/>
          <w:vertAlign w:val="superscript"/>
        </w:rPr>
        <w:t>5</w:t>
      </w:r>
      <w:r w:rsidRPr="009B50E8">
        <w:rPr>
          <w:rFonts w:ascii="Arial" w:hAnsi="Arial" w:cs="Arial"/>
          <w:b/>
          <w:bCs/>
          <w:color w:val="ED7D31" w:themeColor="accent2"/>
          <w:szCs w:val="24"/>
          <w:vertAlign w:val="superscript"/>
        </w:rPr>
        <w:t>)</w:t>
      </w:r>
      <w:r w:rsidRPr="009B50E8">
        <w:rPr>
          <w:rFonts w:ascii="Arial" w:hAnsi="Arial" w:cs="Arial"/>
          <w:color w:val="ED7D31" w:themeColor="accent2"/>
          <w:szCs w:val="24"/>
        </w:rPr>
        <w:t xml:space="preserve">  </w:t>
      </w:r>
      <w:r w:rsidRPr="001C6D8A">
        <w:rPr>
          <w:rFonts w:ascii="Arial" w:hAnsi="Arial" w:cs="Arial"/>
          <w:color w:val="000000" w:themeColor="text1"/>
          <w:szCs w:val="24"/>
        </w:rPr>
        <w:t xml:space="preserve">Rafay, A. (2019). Preface: FinTech as a Disruptive Technology for Financial Institutions. </w:t>
      </w:r>
      <w:r w:rsidRPr="001C6D8A">
        <w:rPr>
          <w:rFonts w:ascii="Arial" w:hAnsi="Arial" w:cs="Arial"/>
          <w:i/>
          <w:iCs/>
          <w:color w:val="000000" w:themeColor="text1"/>
          <w:szCs w:val="24"/>
        </w:rPr>
        <w:t>Rafay, A.(2019). FinTech as a Disruptive Technology for Financial Institutions. PA: IGI Publishing, USA.[ISBN13: 9781522578055</w:t>
      </w:r>
      <w:r w:rsidRPr="001C6D8A">
        <w:rPr>
          <w:rFonts w:ascii="Arial" w:hAnsi="Arial" w:cs="Arial"/>
          <w:color w:val="000000" w:themeColor="text1"/>
          <w:szCs w:val="24"/>
        </w:rPr>
        <w:t>.</w:t>
      </w:r>
    </w:p>
    <w:p w14:paraId="61DDAD77" w14:textId="77777777" w:rsidR="00D32E52" w:rsidRPr="001C6D8A" w:rsidRDefault="00D32E52" w:rsidP="00D32E52">
      <w:pPr>
        <w:spacing w:line="360" w:lineRule="auto"/>
        <w:ind w:left="567" w:hanging="567"/>
        <w:jc w:val="both"/>
        <w:rPr>
          <w:rFonts w:ascii="Arial" w:hAnsi="Arial" w:cs="Arial"/>
          <w:color w:val="000000" w:themeColor="text1"/>
          <w:szCs w:val="24"/>
        </w:rPr>
      </w:pPr>
      <w:r w:rsidRPr="009B50E8">
        <w:rPr>
          <w:rStyle w:val="selectable"/>
          <w:rFonts w:ascii="Arial" w:eastAsiaTheme="majorEastAsia" w:hAnsi="Arial" w:cs="Arial"/>
          <w:b/>
          <w:bCs/>
          <w:color w:val="ED7D31" w:themeColor="accent2"/>
          <w:szCs w:val="24"/>
          <w:vertAlign w:val="superscript"/>
        </w:rPr>
        <w:t>(1</w:t>
      </w:r>
      <w:r>
        <w:rPr>
          <w:rStyle w:val="selectable"/>
          <w:rFonts w:ascii="Arial" w:eastAsiaTheme="majorEastAsia" w:hAnsi="Arial" w:cs="Arial"/>
          <w:b/>
          <w:bCs/>
          <w:color w:val="ED7D31" w:themeColor="accent2"/>
          <w:szCs w:val="24"/>
          <w:vertAlign w:val="superscript"/>
        </w:rPr>
        <w:t>6</w:t>
      </w:r>
      <w:r w:rsidRPr="009B50E8">
        <w:rPr>
          <w:rStyle w:val="selectable"/>
          <w:rFonts w:ascii="Arial" w:eastAsiaTheme="majorEastAsia" w:hAnsi="Arial" w:cs="Arial"/>
          <w:b/>
          <w:bCs/>
          <w:color w:val="ED7D31" w:themeColor="accent2"/>
          <w:szCs w:val="24"/>
          <w:vertAlign w:val="superscript"/>
        </w:rPr>
        <w:t>)</w:t>
      </w:r>
      <w:r w:rsidRPr="009B50E8">
        <w:rPr>
          <w:rStyle w:val="selectable"/>
          <w:rFonts w:ascii="Arial" w:eastAsiaTheme="majorEastAsia" w:hAnsi="Arial" w:cs="Arial"/>
          <w:color w:val="ED7D31" w:themeColor="accent2"/>
          <w:szCs w:val="24"/>
        </w:rPr>
        <w:t xml:space="preserve">  </w:t>
      </w:r>
      <w:r w:rsidRPr="001C6D8A">
        <w:rPr>
          <w:rStyle w:val="selectable"/>
          <w:rFonts w:ascii="Arial" w:eastAsiaTheme="majorEastAsia" w:hAnsi="Arial" w:cs="Arial"/>
          <w:color w:val="000000" w:themeColor="text1"/>
          <w:szCs w:val="24"/>
        </w:rPr>
        <w:t xml:space="preserve">Dailytimes. (2018). </w:t>
      </w:r>
      <w:r w:rsidRPr="001C6D8A">
        <w:rPr>
          <w:rStyle w:val="selectable"/>
          <w:rFonts w:ascii="Arial" w:eastAsiaTheme="majorEastAsia" w:hAnsi="Arial" w:cs="Arial"/>
          <w:i/>
          <w:iCs/>
          <w:color w:val="000000" w:themeColor="text1"/>
          <w:szCs w:val="24"/>
        </w:rPr>
        <w:t>Fintech in Banking: opportunity in challenge - Daily Times</w:t>
      </w:r>
      <w:r w:rsidRPr="001C6D8A">
        <w:rPr>
          <w:rStyle w:val="selectable"/>
          <w:rFonts w:ascii="Arial" w:eastAsiaTheme="majorEastAsia" w:hAnsi="Arial" w:cs="Arial"/>
          <w:color w:val="000000" w:themeColor="text1"/>
          <w:szCs w:val="24"/>
        </w:rPr>
        <w:t xml:space="preserve">. Daily Times. Retrieved 17 April 2021, from </w:t>
      </w:r>
      <w:hyperlink r:id="rId18" w:history="1">
        <w:r w:rsidRPr="001C6D8A">
          <w:rPr>
            <w:rStyle w:val="Hyperlink"/>
            <w:rFonts w:ascii="Arial" w:eastAsiaTheme="majorEastAsia" w:hAnsi="Arial" w:cs="Arial"/>
            <w:color w:val="000000" w:themeColor="text1"/>
            <w:szCs w:val="24"/>
          </w:rPr>
          <w:t>https://dailytimes.com.pk/223611/fintech-in-banking-opportunity-in-challenge/</w:t>
        </w:r>
      </w:hyperlink>
      <w:r w:rsidRPr="001C6D8A">
        <w:rPr>
          <w:rStyle w:val="selectable"/>
          <w:rFonts w:ascii="Arial" w:eastAsiaTheme="majorEastAsia" w:hAnsi="Arial" w:cs="Arial"/>
          <w:color w:val="000000" w:themeColor="text1"/>
          <w:szCs w:val="24"/>
        </w:rPr>
        <w:t>.</w:t>
      </w:r>
    </w:p>
    <w:p w14:paraId="10549BB4" w14:textId="77777777" w:rsidR="00D32E52" w:rsidRPr="001C6D8A" w:rsidRDefault="00D32E52" w:rsidP="00D32E52">
      <w:pPr>
        <w:spacing w:line="360" w:lineRule="auto"/>
        <w:ind w:left="567" w:hanging="567"/>
        <w:jc w:val="both"/>
        <w:rPr>
          <w:rFonts w:ascii="Arial" w:hAnsi="Arial" w:cs="Arial"/>
          <w:color w:val="000000" w:themeColor="text1"/>
          <w:szCs w:val="24"/>
        </w:rPr>
      </w:pPr>
      <w:r w:rsidRPr="009B50E8">
        <w:rPr>
          <w:rFonts w:ascii="Arial" w:hAnsi="Arial" w:cs="Arial"/>
          <w:b/>
          <w:bCs/>
          <w:color w:val="ED7D31" w:themeColor="accent2"/>
          <w:szCs w:val="24"/>
          <w:vertAlign w:val="superscript"/>
        </w:rPr>
        <w:t>(1</w:t>
      </w:r>
      <w:r>
        <w:rPr>
          <w:rFonts w:ascii="Arial" w:hAnsi="Arial" w:cs="Arial"/>
          <w:b/>
          <w:bCs/>
          <w:color w:val="ED7D31" w:themeColor="accent2"/>
          <w:szCs w:val="24"/>
          <w:vertAlign w:val="superscript"/>
        </w:rPr>
        <w:t>7</w:t>
      </w:r>
      <w:r w:rsidRPr="009B50E8">
        <w:rPr>
          <w:rFonts w:ascii="Arial" w:hAnsi="Arial" w:cs="Arial"/>
          <w:b/>
          <w:bCs/>
          <w:color w:val="ED7D31" w:themeColor="accent2"/>
          <w:szCs w:val="24"/>
          <w:vertAlign w:val="superscript"/>
        </w:rPr>
        <w:t>)</w:t>
      </w:r>
      <w:r w:rsidRPr="009B50E8">
        <w:rPr>
          <w:rFonts w:ascii="Arial" w:hAnsi="Arial" w:cs="Arial"/>
          <w:color w:val="ED7D31" w:themeColor="accent2"/>
          <w:szCs w:val="24"/>
        </w:rPr>
        <w:t xml:space="preserve">  </w:t>
      </w:r>
      <w:r w:rsidRPr="001C6D8A">
        <w:rPr>
          <w:rFonts w:ascii="Arial" w:hAnsi="Arial" w:cs="Arial"/>
          <w:color w:val="000000" w:themeColor="text1"/>
          <w:szCs w:val="24"/>
        </w:rPr>
        <w:t xml:space="preserve">Ali, H., &amp; Abdullah, R. (2020). Fintech and Financial Inclusion in Pakistan: An Exploratory Study. In </w:t>
      </w:r>
      <w:r w:rsidRPr="001C6D8A">
        <w:rPr>
          <w:rFonts w:ascii="Arial" w:hAnsi="Arial" w:cs="Arial"/>
          <w:i/>
          <w:iCs/>
          <w:color w:val="000000" w:themeColor="text1"/>
          <w:szCs w:val="24"/>
        </w:rPr>
        <w:t>Enhancing Financial Inclusion through Islamic Finance, Volume I</w:t>
      </w:r>
      <w:r w:rsidRPr="001C6D8A">
        <w:rPr>
          <w:rFonts w:ascii="Arial" w:hAnsi="Arial" w:cs="Arial"/>
          <w:color w:val="000000" w:themeColor="text1"/>
          <w:szCs w:val="24"/>
        </w:rPr>
        <w:t xml:space="preserve"> (pp. 159-192). Palgrave Macmillan, Cham.</w:t>
      </w:r>
    </w:p>
    <w:p w14:paraId="18E60A55" w14:textId="77777777" w:rsidR="00D32E52" w:rsidRPr="001C6D8A" w:rsidRDefault="00D32E52" w:rsidP="00D32E52">
      <w:pPr>
        <w:spacing w:line="360" w:lineRule="auto"/>
        <w:ind w:left="567" w:hanging="567"/>
        <w:jc w:val="both"/>
        <w:rPr>
          <w:rFonts w:ascii="Arial" w:hAnsi="Arial" w:cs="Arial"/>
          <w:color w:val="000000" w:themeColor="text1"/>
          <w:szCs w:val="24"/>
        </w:rPr>
      </w:pPr>
    </w:p>
    <w:p w14:paraId="4C270C5C" w14:textId="77777777" w:rsidR="00D32E52" w:rsidRPr="001C6D8A" w:rsidRDefault="00D32E52" w:rsidP="00D32E52">
      <w:pPr>
        <w:spacing w:line="480" w:lineRule="auto"/>
        <w:ind w:left="567" w:hanging="567"/>
        <w:jc w:val="both"/>
        <w:rPr>
          <w:rStyle w:val="selectable"/>
          <w:rFonts w:ascii="Arial" w:eastAsiaTheme="majorEastAsia" w:hAnsi="Arial" w:cs="Arial"/>
          <w:color w:val="000000" w:themeColor="text1"/>
          <w:szCs w:val="24"/>
        </w:rPr>
      </w:pPr>
    </w:p>
    <w:p w14:paraId="11120914" w14:textId="77777777" w:rsidR="00D32E52" w:rsidRPr="001C6D8A" w:rsidRDefault="00D32E52" w:rsidP="00D32E52">
      <w:pPr>
        <w:spacing w:line="480" w:lineRule="auto"/>
        <w:jc w:val="both"/>
        <w:rPr>
          <w:rFonts w:ascii="Arial" w:hAnsi="Arial" w:cs="Arial"/>
          <w:b/>
          <w:color w:val="000000" w:themeColor="text1"/>
          <w:szCs w:val="24"/>
        </w:rPr>
      </w:pPr>
    </w:p>
    <w:p w14:paraId="7BF30E11" w14:textId="77777777" w:rsidR="00223521" w:rsidRDefault="000545D2"/>
    <w:sectPr w:rsidR="002235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E52"/>
    <w:rsid w:val="000545D2"/>
    <w:rsid w:val="002F5842"/>
    <w:rsid w:val="00CE678D"/>
    <w:rsid w:val="00D32E52"/>
    <w:rsid w:val="00F9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FDDE6"/>
  <w15:chartTrackingRefBased/>
  <w15:docId w15:val="{EFDB272C-BC68-4C1E-AC11-3DC0848D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52"/>
    <w:pPr>
      <w:spacing w:after="0" w:line="240" w:lineRule="auto"/>
    </w:pPr>
    <w:rPr>
      <w:rFonts w:ascii="Times New Roman" w:eastAsia="Times New Roman" w:hAnsi="Times New Roman" w:cs="Times New Roman"/>
      <w:sz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2E52"/>
    <w:rPr>
      <w:color w:val="0000FF"/>
      <w:u w:val="single"/>
    </w:rPr>
  </w:style>
  <w:style w:type="character" w:customStyle="1" w:styleId="selectable">
    <w:name w:val="selectable"/>
    <w:basedOn w:val="DefaultParagraphFont"/>
    <w:rsid w:val="00D3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13" Type="http://schemas.openxmlformats.org/officeDocument/2006/relationships/hyperlink" Target="https://www.techjuice.pk/fintech-in-pakistan-challenges-opportunities-and-recommendations/" TargetMode="External"/><Relationship Id="rId18" Type="http://schemas.openxmlformats.org/officeDocument/2006/relationships/hyperlink" Target="https://dailytimes.com.pk/223611/fintech-in-banking-opportunity-in-challenge/" TargetMode="External"/><Relationship Id="rId3" Type="http://schemas.openxmlformats.org/officeDocument/2006/relationships/webSettings" Target="webSettings.xml"/><Relationship Id="rId7" Type="http://schemas.openxmlformats.org/officeDocument/2006/relationships/diagramColors" Target="diagrams/colors1.xml"/><Relationship Id="rId12" Type="http://schemas.openxmlformats.org/officeDocument/2006/relationships/hyperlink" Target="https://karandaaz.com.pk/wp-content/uploads/2017/02/Seeding-Innovation.pdf" TargetMode="External"/><Relationship Id="rId17" Type="http://schemas.openxmlformats.org/officeDocument/2006/relationships/hyperlink" Target="https://tellimer.com/article/the-ultimate-guide-to-pakistan-fintech" TargetMode="External"/><Relationship Id="rId2" Type="http://schemas.openxmlformats.org/officeDocument/2006/relationships/settings" Target="settings.xml"/><Relationship Id="rId16" Type="http://schemas.openxmlformats.org/officeDocument/2006/relationships/hyperlink" Target="https://portal.karandaaz.com.pk/category/financial-access-individual-behaviour/201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hyperlink" Target="https://www.fintechfutures.com/2020/12/digitalisation-landscape-in-pakistan-a-tech-view/" TargetMode="External"/><Relationship Id="rId5" Type="http://schemas.openxmlformats.org/officeDocument/2006/relationships/diagramLayout" Target="diagrams/layout1.xml"/><Relationship Id="rId15" Type="http://schemas.openxmlformats.org/officeDocument/2006/relationships/hyperlink" Target="https://finclusion.org/country/asia/pakistan.html#dataAtAGlance"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diagramData" Target="diagrams/data1.xml"/><Relationship Id="rId9" Type="http://schemas.openxmlformats.org/officeDocument/2006/relationships/chart" Target="charts/chart1.xml"/><Relationship Id="rId14" Type="http://schemas.openxmlformats.org/officeDocument/2006/relationships/hyperlink" Target="https://www.gsma.com/mobilefordevelopment/wp-content/uploads/2020/06/The-Power-of-Mobile-to-Accelerate-Digital-Transformation-in-Pakistan-2019.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b="1">
                <a:solidFill>
                  <a:schemeClr val="tx1"/>
                </a:solidFill>
              </a:rPr>
              <a:t>Regulatory Environment Perception </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Sheet1!$B$1</c:f>
              <c:strCache>
                <c:ptCount val="1"/>
                <c:pt idx="0">
                  <c:v>Favourable Regulations </c:v>
                </c:pt>
              </c:strCache>
            </c:strRef>
          </c:tx>
          <c:spPr>
            <a:solidFill>
              <a:schemeClr val="accent1">
                <a:shade val="65000"/>
              </a:schemeClr>
            </a:solidFill>
            <a:ln>
              <a:noFill/>
            </a:ln>
            <a:effectLst/>
          </c:spPr>
          <c:invertIfNegative val="0"/>
          <c:cat>
            <c:strRef>
              <c:f>Sheet1!$A$2</c:f>
              <c:strCache>
                <c:ptCount val="1"/>
                <c:pt idx="0">
                  <c:v>Regulatory Issues</c:v>
                </c:pt>
              </c:strCache>
            </c:strRef>
          </c:cat>
          <c:val>
            <c:numRef>
              <c:f>Sheet1!$B$2</c:f>
              <c:numCache>
                <c:formatCode>0%</c:formatCode>
                <c:ptCount val="1"/>
                <c:pt idx="0">
                  <c:v>0.65</c:v>
                </c:pt>
              </c:numCache>
            </c:numRef>
          </c:val>
          <c:extLst>
            <c:ext xmlns:c16="http://schemas.microsoft.com/office/drawing/2014/chart" uri="{C3380CC4-5D6E-409C-BE32-E72D297353CC}">
              <c16:uniqueId val="{00000000-E317-459F-8157-F46F29FFF053}"/>
            </c:ext>
          </c:extLst>
        </c:ser>
        <c:ser>
          <c:idx val="1"/>
          <c:order val="1"/>
          <c:tx>
            <c:strRef>
              <c:f>Sheet1!$C$1</c:f>
              <c:strCache>
                <c:ptCount val="1"/>
                <c:pt idx="0">
                  <c:v>Lack of Regulatory Support from Government</c:v>
                </c:pt>
              </c:strCache>
            </c:strRef>
          </c:tx>
          <c:spPr>
            <a:solidFill>
              <a:schemeClr val="accent1"/>
            </a:solidFill>
            <a:ln>
              <a:noFill/>
            </a:ln>
            <a:effectLst/>
          </c:spPr>
          <c:invertIfNegative val="0"/>
          <c:cat>
            <c:strRef>
              <c:f>Sheet1!$A$2</c:f>
              <c:strCache>
                <c:ptCount val="1"/>
                <c:pt idx="0">
                  <c:v>Regulatory Issues</c:v>
                </c:pt>
              </c:strCache>
            </c:strRef>
          </c:cat>
          <c:val>
            <c:numRef>
              <c:f>Sheet1!$C$2</c:f>
              <c:numCache>
                <c:formatCode>0%</c:formatCode>
                <c:ptCount val="1"/>
                <c:pt idx="0">
                  <c:v>0.56999999999999995</c:v>
                </c:pt>
              </c:numCache>
            </c:numRef>
          </c:val>
          <c:extLst>
            <c:ext xmlns:c16="http://schemas.microsoft.com/office/drawing/2014/chart" uri="{C3380CC4-5D6E-409C-BE32-E72D297353CC}">
              <c16:uniqueId val="{00000001-E317-459F-8157-F46F29FFF053}"/>
            </c:ext>
          </c:extLst>
        </c:ser>
        <c:ser>
          <c:idx val="2"/>
          <c:order val="2"/>
          <c:tx>
            <c:strRef>
              <c:f>Sheet1!$D$1</c:f>
              <c:strCache>
                <c:ptCount val="1"/>
                <c:pt idx="0">
                  <c:v>Regulatory Uncertainty</c:v>
                </c:pt>
              </c:strCache>
            </c:strRef>
          </c:tx>
          <c:spPr>
            <a:solidFill>
              <a:schemeClr val="accent1">
                <a:tint val="65000"/>
              </a:schemeClr>
            </a:solidFill>
            <a:ln>
              <a:noFill/>
            </a:ln>
            <a:effectLst/>
          </c:spPr>
          <c:invertIfNegative val="0"/>
          <c:cat>
            <c:strRef>
              <c:f>Sheet1!$A$2</c:f>
              <c:strCache>
                <c:ptCount val="1"/>
                <c:pt idx="0">
                  <c:v>Regulatory Issues</c:v>
                </c:pt>
              </c:strCache>
            </c:strRef>
          </c:cat>
          <c:val>
            <c:numRef>
              <c:f>Sheet1!$D$2</c:f>
              <c:numCache>
                <c:formatCode>0%</c:formatCode>
                <c:ptCount val="1"/>
                <c:pt idx="0">
                  <c:v>0.31</c:v>
                </c:pt>
              </c:numCache>
            </c:numRef>
          </c:val>
          <c:extLst>
            <c:ext xmlns:c16="http://schemas.microsoft.com/office/drawing/2014/chart" uri="{C3380CC4-5D6E-409C-BE32-E72D297353CC}">
              <c16:uniqueId val="{00000002-E317-459F-8157-F46F29FFF053}"/>
            </c:ext>
          </c:extLst>
        </c:ser>
        <c:dLbls>
          <c:showLegendKey val="0"/>
          <c:showVal val="0"/>
          <c:showCatName val="0"/>
          <c:showSerName val="0"/>
          <c:showPercent val="0"/>
          <c:showBubbleSize val="0"/>
        </c:dLbls>
        <c:gapWidth val="219"/>
        <c:axId val="521680520"/>
        <c:axId val="521678880"/>
      </c:barChart>
      <c:catAx>
        <c:axId val="521680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21678880"/>
        <c:crosses val="autoZero"/>
        <c:auto val="1"/>
        <c:lblAlgn val="ctr"/>
        <c:lblOffset val="100"/>
        <c:noMultiLvlLbl val="0"/>
      </c:catAx>
      <c:valAx>
        <c:axId val="5216788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21680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lgn="ctr">
              <a:defRPr sz="1050" b="1" i="0" u="none" strike="noStrike" kern="1200" spc="0" baseline="0">
                <a:solidFill>
                  <a:schemeClr val="tx1"/>
                </a:solidFill>
                <a:latin typeface="Arial" panose="020B0604020202020204" pitchFamily="34" charset="0"/>
                <a:ea typeface="+mn-ea"/>
                <a:cs typeface="Arial" panose="020B0604020202020204" pitchFamily="34" charset="0"/>
              </a:defRPr>
            </a:pPr>
            <a:r>
              <a:rPr lang="en-US" sz="1050" b="1">
                <a:solidFill>
                  <a:schemeClr val="tx1"/>
                </a:solidFill>
              </a:rPr>
              <a:t>Financial Inclusion In Pakistan</a:t>
            </a:r>
          </a:p>
        </c:rich>
      </c:tx>
      <c:overlay val="0"/>
      <c:spPr>
        <a:noFill/>
        <a:ln>
          <a:noFill/>
        </a:ln>
        <a:effectLst/>
      </c:spPr>
      <c:txPr>
        <a:bodyPr rot="0" spcFirstLastPara="1" vertOverflow="ellipsis" vert="horz" wrap="square" anchor="ctr" anchorCtr="1"/>
        <a:lstStyle/>
        <a:p>
          <a:pPr algn="ctr">
            <a:defRPr sz="1050" b="1"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Financial Inclusion Indicators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Adult Population-Formal Account</c:v>
                </c:pt>
                <c:pt idx="1">
                  <c:v>Adult Females with Formal Account</c:v>
                </c:pt>
                <c:pt idx="2">
                  <c:v>Digital Payments (Received or Made) in last year  </c:v>
                </c:pt>
              </c:strCache>
            </c:strRef>
          </c:cat>
          <c:val>
            <c:numRef>
              <c:f>Sheet1!$B$2:$B$4</c:f>
              <c:numCache>
                <c:formatCode>0%</c:formatCode>
                <c:ptCount val="3"/>
                <c:pt idx="0">
                  <c:v>0.21</c:v>
                </c:pt>
                <c:pt idx="1">
                  <c:v>7.0000000000000007E-2</c:v>
                </c:pt>
                <c:pt idx="2">
                  <c:v>0.18</c:v>
                </c:pt>
              </c:numCache>
            </c:numRef>
          </c:val>
          <c:extLst>
            <c:ext xmlns:c16="http://schemas.microsoft.com/office/drawing/2014/chart" uri="{C3380CC4-5D6E-409C-BE32-E72D297353CC}">
              <c16:uniqueId val="{00000000-6C90-4487-98EF-324CC92BE4AC}"/>
            </c:ext>
          </c:extLst>
        </c:ser>
        <c:dLbls>
          <c:showLegendKey val="0"/>
          <c:showVal val="0"/>
          <c:showCatName val="0"/>
          <c:showSerName val="0"/>
          <c:showPercent val="0"/>
          <c:showBubbleSize val="0"/>
        </c:dLbls>
        <c:gapWidth val="219"/>
        <c:overlap val="-27"/>
        <c:axId val="613275160"/>
        <c:axId val="613278768"/>
      </c:barChart>
      <c:catAx>
        <c:axId val="613275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13278768"/>
        <c:crosses val="autoZero"/>
        <c:auto val="1"/>
        <c:lblAlgn val="ctr"/>
        <c:lblOffset val="100"/>
        <c:noMultiLvlLbl val="0"/>
      </c:catAx>
      <c:valAx>
        <c:axId val="613278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13275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53A42E-772E-4E9D-8A18-11C6D02D4937}" type="doc">
      <dgm:prSet loTypeId="urn:microsoft.com/office/officeart/2005/8/layout/default" loCatId="list" qsTypeId="urn:microsoft.com/office/officeart/2005/8/quickstyle/simple1" qsCatId="simple" csTypeId="urn:microsoft.com/office/officeart/2005/8/colors/colorful5" csCatId="colorful" phldr="1"/>
      <dgm:spPr/>
      <dgm:t>
        <a:bodyPr/>
        <a:lstStyle/>
        <a:p>
          <a:endParaRPr lang="en-US"/>
        </a:p>
      </dgm:t>
    </dgm:pt>
    <dgm:pt modelId="{CA96259B-B084-46E0-A251-9BAF7D7A8102}">
      <dgm:prSet phldrT="[Text]" custT="1"/>
      <dgm:spPr/>
      <dgm:t>
        <a:bodyPr/>
        <a:lstStyle/>
        <a:p>
          <a:r>
            <a:rPr lang="en-US" sz="800" dirty="0">
              <a:latin typeface="Arial" panose="020B0604020202020204" pitchFamily="34" charset="0"/>
              <a:cs typeface="Arial" panose="020B0604020202020204" pitchFamily="34" charset="0"/>
            </a:rPr>
            <a:t>Changing Consumer Behavior</a:t>
          </a:r>
        </a:p>
      </dgm:t>
    </dgm:pt>
    <dgm:pt modelId="{BD414AAE-6235-4516-A8A2-4378CC15BA06}" type="parTrans" cxnId="{0E1E9318-B2E1-4DFD-BCD2-765FA231DBC3}">
      <dgm:prSet/>
      <dgm:spPr/>
      <dgm:t>
        <a:bodyPr/>
        <a:lstStyle/>
        <a:p>
          <a:endParaRPr lang="en-US"/>
        </a:p>
      </dgm:t>
    </dgm:pt>
    <dgm:pt modelId="{D37B0923-0AB7-4FDD-9001-5700EEF17076}" type="sibTrans" cxnId="{0E1E9318-B2E1-4DFD-BCD2-765FA231DBC3}">
      <dgm:prSet/>
      <dgm:spPr/>
      <dgm:t>
        <a:bodyPr/>
        <a:lstStyle/>
        <a:p>
          <a:endParaRPr lang="en-US"/>
        </a:p>
      </dgm:t>
    </dgm:pt>
    <dgm:pt modelId="{DC7548B3-93A8-4364-8659-C2F60713EB56}">
      <dgm:prSet phldrT="[Text]" custT="1"/>
      <dgm:spPr/>
      <dgm:t>
        <a:bodyPr/>
        <a:lstStyle/>
        <a:p>
          <a:r>
            <a:rPr lang="en-US" sz="800" dirty="0">
              <a:latin typeface="Arial" panose="020B0604020202020204" pitchFamily="34" charset="0"/>
              <a:cs typeface="Arial" panose="020B0604020202020204" pitchFamily="34" charset="0"/>
            </a:rPr>
            <a:t>Challenges in tapping customers</a:t>
          </a:r>
        </a:p>
      </dgm:t>
    </dgm:pt>
    <dgm:pt modelId="{10E83F75-88FA-467E-B8D8-3B0363CA844D}" type="parTrans" cxnId="{E30FA901-4423-4B15-9773-25ACFCC1F80A}">
      <dgm:prSet/>
      <dgm:spPr/>
      <dgm:t>
        <a:bodyPr/>
        <a:lstStyle/>
        <a:p>
          <a:endParaRPr lang="en-US"/>
        </a:p>
      </dgm:t>
    </dgm:pt>
    <dgm:pt modelId="{092986D3-4989-4DB7-BEFF-DA93B1F106A9}" type="sibTrans" cxnId="{E30FA901-4423-4B15-9773-25ACFCC1F80A}">
      <dgm:prSet/>
      <dgm:spPr/>
      <dgm:t>
        <a:bodyPr/>
        <a:lstStyle/>
        <a:p>
          <a:endParaRPr lang="en-US"/>
        </a:p>
      </dgm:t>
    </dgm:pt>
    <dgm:pt modelId="{3D6BF22E-E769-45D9-992A-77E7BD4AFF59}">
      <dgm:prSet phldrT="[Text]" custT="1"/>
      <dgm:spPr/>
      <dgm:t>
        <a:bodyPr/>
        <a:lstStyle/>
        <a:p>
          <a:r>
            <a:rPr lang="en-US" sz="800" dirty="0">
              <a:latin typeface="Arial" panose="020B0604020202020204" pitchFamily="34" charset="0"/>
              <a:cs typeface="Arial" panose="020B0604020202020204" pitchFamily="34" charset="0"/>
            </a:rPr>
            <a:t>Attracting right Talent</a:t>
          </a:r>
        </a:p>
      </dgm:t>
    </dgm:pt>
    <dgm:pt modelId="{97BEBDA9-F8DE-4C95-8257-E1D4956772AC}" type="parTrans" cxnId="{34191D14-9B83-43EF-B6B9-4346569394CB}">
      <dgm:prSet/>
      <dgm:spPr/>
      <dgm:t>
        <a:bodyPr/>
        <a:lstStyle/>
        <a:p>
          <a:endParaRPr lang="en-US"/>
        </a:p>
      </dgm:t>
    </dgm:pt>
    <dgm:pt modelId="{846FC39E-422D-4708-B936-A55E01BF830E}" type="sibTrans" cxnId="{34191D14-9B83-43EF-B6B9-4346569394CB}">
      <dgm:prSet/>
      <dgm:spPr/>
      <dgm:t>
        <a:bodyPr/>
        <a:lstStyle/>
        <a:p>
          <a:endParaRPr lang="en-US"/>
        </a:p>
      </dgm:t>
    </dgm:pt>
    <dgm:pt modelId="{43BA82D0-FFB5-4DA1-9961-E24A98D5697A}">
      <dgm:prSet phldrT="[Text]" custT="1"/>
      <dgm:spPr/>
      <dgm:t>
        <a:bodyPr/>
        <a:lstStyle/>
        <a:p>
          <a:r>
            <a:rPr lang="en-US" sz="800" dirty="0">
              <a:latin typeface="Arial" panose="020B0604020202020204" pitchFamily="34" charset="0"/>
              <a:cs typeface="Arial" panose="020B0604020202020204" pitchFamily="34" charset="0"/>
            </a:rPr>
            <a:t>Lack of Mentoring/Trainings</a:t>
          </a:r>
        </a:p>
      </dgm:t>
    </dgm:pt>
    <dgm:pt modelId="{D0AD6596-6E78-4B3E-A4BC-3AC04315A4E3}" type="parTrans" cxnId="{2E726A9F-A060-4CB8-BF09-30B36C708FC7}">
      <dgm:prSet/>
      <dgm:spPr/>
      <dgm:t>
        <a:bodyPr/>
        <a:lstStyle/>
        <a:p>
          <a:endParaRPr lang="en-US"/>
        </a:p>
      </dgm:t>
    </dgm:pt>
    <dgm:pt modelId="{D7F82738-C787-4A02-9222-FF242FC366E7}" type="sibTrans" cxnId="{2E726A9F-A060-4CB8-BF09-30B36C708FC7}">
      <dgm:prSet/>
      <dgm:spPr/>
      <dgm:t>
        <a:bodyPr/>
        <a:lstStyle/>
        <a:p>
          <a:endParaRPr lang="en-US"/>
        </a:p>
      </dgm:t>
    </dgm:pt>
    <dgm:pt modelId="{CFBFE81A-A224-4CB7-A006-340ACDAD6AEB}">
      <dgm:prSet custT="1"/>
      <dgm:spPr/>
      <dgm:t>
        <a:bodyPr/>
        <a:lstStyle/>
        <a:p>
          <a:r>
            <a:rPr lang="en-US" sz="800" dirty="0">
              <a:latin typeface="Arial" panose="020B0604020202020204" pitchFamily="34" charset="0"/>
              <a:cs typeface="Arial" panose="020B0604020202020204" pitchFamily="34" charset="0"/>
            </a:rPr>
            <a:t>Low level of Collaboration between large scaled and small firms</a:t>
          </a:r>
        </a:p>
      </dgm:t>
    </dgm:pt>
    <dgm:pt modelId="{6FD0EB6C-A2CE-484F-91CF-222C6FC6592E}" type="parTrans" cxnId="{47257555-2860-4784-B436-19E5A2BF8BE2}">
      <dgm:prSet/>
      <dgm:spPr/>
      <dgm:t>
        <a:bodyPr/>
        <a:lstStyle/>
        <a:p>
          <a:endParaRPr lang="en-US"/>
        </a:p>
      </dgm:t>
    </dgm:pt>
    <dgm:pt modelId="{F8DF942E-5EE1-4B55-BB46-28686691F98B}" type="sibTrans" cxnId="{47257555-2860-4784-B436-19E5A2BF8BE2}">
      <dgm:prSet/>
      <dgm:spPr/>
      <dgm:t>
        <a:bodyPr/>
        <a:lstStyle/>
        <a:p>
          <a:endParaRPr lang="en-US"/>
        </a:p>
      </dgm:t>
    </dgm:pt>
    <dgm:pt modelId="{3AED7A2C-EDB0-4A63-AE83-2B11D0C9E856}">
      <dgm:prSet custT="1"/>
      <dgm:spPr/>
      <dgm:t>
        <a:bodyPr/>
        <a:lstStyle/>
        <a:p>
          <a:r>
            <a:rPr lang="en-US" sz="800" dirty="0">
              <a:latin typeface="Arial" panose="020B0604020202020204" pitchFamily="34" charset="0"/>
              <a:cs typeface="Arial" panose="020B0604020202020204" pitchFamily="34" charset="0"/>
            </a:rPr>
            <a:t>Regulatory Challenges </a:t>
          </a:r>
        </a:p>
      </dgm:t>
    </dgm:pt>
    <dgm:pt modelId="{B9DF7A3A-89DD-4385-87EB-28B80DC471B3}" type="parTrans" cxnId="{8280CB10-D302-4091-A7D2-3737E697A052}">
      <dgm:prSet/>
      <dgm:spPr/>
      <dgm:t>
        <a:bodyPr/>
        <a:lstStyle/>
        <a:p>
          <a:endParaRPr lang="en-US"/>
        </a:p>
      </dgm:t>
    </dgm:pt>
    <dgm:pt modelId="{D7C3236E-1C08-445D-AA95-2465E9007E33}" type="sibTrans" cxnId="{8280CB10-D302-4091-A7D2-3737E697A052}">
      <dgm:prSet/>
      <dgm:spPr/>
      <dgm:t>
        <a:bodyPr/>
        <a:lstStyle/>
        <a:p>
          <a:endParaRPr lang="en-US"/>
        </a:p>
      </dgm:t>
    </dgm:pt>
    <dgm:pt modelId="{F180FB26-A6BB-4D53-887C-E4368402E226}">
      <dgm:prSet custT="1"/>
      <dgm:spPr/>
      <dgm:t>
        <a:bodyPr/>
        <a:lstStyle/>
        <a:p>
          <a:r>
            <a:rPr lang="en-US" sz="800" dirty="0">
              <a:latin typeface="Arial" panose="020B0604020202020204" pitchFamily="34" charset="0"/>
              <a:cs typeface="Arial" panose="020B0604020202020204" pitchFamily="34" charset="0"/>
            </a:rPr>
            <a:t>Data Security Issues</a:t>
          </a:r>
        </a:p>
      </dgm:t>
    </dgm:pt>
    <dgm:pt modelId="{E13B20F9-FB9B-43EC-87A9-9020534D95B2}" type="parTrans" cxnId="{53400BE9-CC2C-49E8-AAD3-D23721984D22}">
      <dgm:prSet/>
      <dgm:spPr/>
      <dgm:t>
        <a:bodyPr/>
        <a:lstStyle/>
        <a:p>
          <a:endParaRPr lang="en-US"/>
        </a:p>
      </dgm:t>
    </dgm:pt>
    <dgm:pt modelId="{8C9ACB28-3BE6-4D7B-A2CA-5B0A3C644804}" type="sibTrans" cxnId="{53400BE9-CC2C-49E8-AAD3-D23721984D22}">
      <dgm:prSet/>
      <dgm:spPr/>
      <dgm:t>
        <a:bodyPr/>
        <a:lstStyle/>
        <a:p>
          <a:endParaRPr lang="en-US"/>
        </a:p>
      </dgm:t>
    </dgm:pt>
    <dgm:pt modelId="{1EA6DDC8-9030-44DA-9EC9-799D1106ACB1}">
      <dgm:prSet custT="1"/>
      <dgm:spPr/>
      <dgm:t>
        <a:bodyPr/>
        <a:lstStyle/>
        <a:p>
          <a:r>
            <a:rPr lang="en-US" sz="800" dirty="0">
              <a:latin typeface="Arial" panose="020B0604020202020204" pitchFamily="34" charset="0"/>
              <a:cs typeface="Arial" panose="020B0604020202020204" pitchFamily="34" charset="0"/>
            </a:rPr>
            <a:t>Licensing Challenges </a:t>
          </a:r>
        </a:p>
      </dgm:t>
    </dgm:pt>
    <dgm:pt modelId="{A1F6C7FC-979A-4B0F-B246-AD1D117D1891}" type="parTrans" cxnId="{C807BDD0-F50E-4F0C-8D48-FCE1DAF6A6B0}">
      <dgm:prSet/>
      <dgm:spPr/>
      <dgm:t>
        <a:bodyPr/>
        <a:lstStyle/>
        <a:p>
          <a:endParaRPr lang="en-US"/>
        </a:p>
      </dgm:t>
    </dgm:pt>
    <dgm:pt modelId="{9494E191-04EA-40C2-8848-D3E186025EA6}" type="sibTrans" cxnId="{C807BDD0-F50E-4F0C-8D48-FCE1DAF6A6B0}">
      <dgm:prSet/>
      <dgm:spPr/>
      <dgm:t>
        <a:bodyPr/>
        <a:lstStyle/>
        <a:p>
          <a:endParaRPr lang="en-US"/>
        </a:p>
      </dgm:t>
    </dgm:pt>
    <dgm:pt modelId="{8D550A81-8F65-4141-AC2D-85CDA8FD562C}">
      <dgm:prSet custT="1"/>
      <dgm:spPr/>
      <dgm:t>
        <a:bodyPr/>
        <a:lstStyle/>
        <a:p>
          <a:r>
            <a:rPr lang="en-US" sz="800" dirty="0">
              <a:latin typeface="Arial" panose="020B0604020202020204" pitchFamily="34" charset="0"/>
              <a:cs typeface="Arial" panose="020B0604020202020204" pitchFamily="34" charset="0"/>
            </a:rPr>
            <a:t>Funding Issues</a:t>
          </a:r>
        </a:p>
      </dgm:t>
    </dgm:pt>
    <dgm:pt modelId="{56A06135-5075-448A-8923-E37A8D926FAF}" type="parTrans" cxnId="{0C987536-32AE-468E-811A-6E10C46A124D}">
      <dgm:prSet/>
      <dgm:spPr/>
      <dgm:t>
        <a:bodyPr/>
        <a:lstStyle/>
        <a:p>
          <a:endParaRPr lang="en-US"/>
        </a:p>
      </dgm:t>
    </dgm:pt>
    <dgm:pt modelId="{6A4D05A6-FC34-42FC-BE58-ACBECA48EBCC}" type="sibTrans" cxnId="{0C987536-32AE-468E-811A-6E10C46A124D}">
      <dgm:prSet/>
      <dgm:spPr/>
      <dgm:t>
        <a:bodyPr/>
        <a:lstStyle/>
        <a:p>
          <a:endParaRPr lang="en-US"/>
        </a:p>
      </dgm:t>
    </dgm:pt>
    <dgm:pt modelId="{6E1639C1-A462-4676-B39F-C55AC822B426}" type="pres">
      <dgm:prSet presAssocID="{9F53A42E-772E-4E9D-8A18-11C6D02D4937}" presName="diagram" presStyleCnt="0">
        <dgm:presLayoutVars>
          <dgm:dir/>
          <dgm:resizeHandles val="exact"/>
        </dgm:presLayoutVars>
      </dgm:prSet>
      <dgm:spPr/>
    </dgm:pt>
    <dgm:pt modelId="{CD2684E0-C3FD-4363-9133-87FE42264912}" type="pres">
      <dgm:prSet presAssocID="{CA96259B-B084-46E0-A251-9BAF7D7A8102}" presName="node" presStyleLbl="node1" presStyleIdx="0" presStyleCnt="9" custLinFactNeighborY="1250">
        <dgm:presLayoutVars>
          <dgm:bulletEnabled val="1"/>
        </dgm:presLayoutVars>
      </dgm:prSet>
      <dgm:spPr/>
    </dgm:pt>
    <dgm:pt modelId="{B6AE48FF-FA9D-4DD7-B53D-04FD2D1B75A1}" type="pres">
      <dgm:prSet presAssocID="{D37B0923-0AB7-4FDD-9001-5700EEF17076}" presName="sibTrans" presStyleCnt="0"/>
      <dgm:spPr/>
    </dgm:pt>
    <dgm:pt modelId="{96801582-08E5-48E5-A8E0-D5479DEE918E}" type="pres">
      <dgm:prSet presAssocID="{CFBFE81A-A224-4CB7-A006-340ACDAD6AEB}" presName="node" presStyleLbl="node1" presStyleIdx="1" presStyleCnt="9" custLinFactNeighborY="1250">
        <dgm:presLayoutVars>
          <dgm:bulletEnabled val="1"/>
        </dgm:presLayoutVars>
      </dgm:prSet>
      <dgm:spPr/>
    </dgm:pt>
    <dgm:pt modelId="{87C01225-6D94-4C1E-A9FA-291C40367349}" type="pres">
      <dgm:prSet presAssocID="{F8DF942E-5EE1-4B55-BB46-28686691F98B}" presName="sibTrans" presStyleCnt="0"/>
      <dgm:spPr/>
    </dgm:pt>
    <dgm:pt modelId="{61E16CCA-114F-4127-864A-DDE95A4A7A3B}" type="pres">
      <dgm:prSet presAssocID="{3AED7A2C-EDB0-4A63-AE83-2B11D0C9E856}" presName="node" presStyleLbl="node1" presStyleIdx="2" presStyleCnt="9" custLinFactNeighborY="1250">
        <dgm:presLayoutVars>
          <dgm:bulletEnabled val="1"/>
        </dgm:presLayoutVars>
      </dgm:prSet>
      <dgm:spPr/>
    </dgm:pt>
    <dgm:pt modelId="{B5AD16ED-7F2B-43E6-B0B5-EA936B2E2145}" type="pres">
      <dgm:prSet presAssocID="{D7C3236E-1C08-445D-AA95-2465E9007E33}" presName="sibTrans" presStyleCnt="0"/>
      <dgm:spPr/>
    </dgm:pt>
    <dgm:pt modelId="{9229F310-6B98-4758-A2CA-F41A44BF8A86}" type="pres">
      <dgm:prSet presAssocID="{F180FB26-A6BB-4D53-887C-E4368402E226}" presName="node" presStyleLbl="node1" presStyleIdx="3" presStyleCnt="9" custLinFactNeighborY="1250">
        <dgm:presLayoutVars>
          <dgm:bulletEnabled val="1"/>
        </dgm:presLayoutVars>
      </dgm:prSet>
      <dgm:spPr/>
    </dgm:pt>
    <dgm:pt modelId="{8605B314-FD4C-4497-B77A-E1B833639F1E}" type="pres">
      <dgm:prSet presAssocID="{8C9ACB28-3BE6-4D7B-A2CA-5B0A3C644804}" presName="sibTrans" presStyleCnt="0"/>
      <dgm:spPr/>
    </dgm:pt>
    <dgm:pt modelId="{2522046F-0272-4687-90F9-E1A735C45B63}" type="pres">
      <dgm:prSet presAssocID="{1EA6DDC8-9030-44DA-9EC9-799D1106ACB1}" presName="node" presStyleLbl="node1" presStyleIdx="4" presStyleCnt="9" custLinFactNeighborY="1250">
        <dgm:presLayoutVars>
          <dgm:bulletEnabled val="1"/>
        </dgm:presLayoutVars>
      </dgm:prSet>
      <dgm:spPr/>
    </dgm:pt>
    <dgm:pt modelId="{B0947F0D-C069-4F5F-BEC9-AE2BE75CEFAE}" type="pres">
      <dgm:prSet presAssocID="{9494E191-04EA-40C2-8848-D3E186025EA6}" presName="sibTrans" presStyleCnt="0"/>
      <dgm:spPr/>
    </dgm:pt>
    <dgm:pt modelId="{25C6A747-3DE5-4C67-8A10-F88B8E47B3C6}" type="pres">
      <dgm:prSet presAssocID="{8D550A81-8F65-4141-AC2D-85CDA8FD562C}" presName="node" presStyleLbl="node1" presStyleIdx="5" presStyleCnt="9" custLinFactNeighborY="1250">
        <dgm:presLayoutVars>
          <dgm:bulletEnabled val="1"/>
        </dgm:presLayoutVars>
      </dgm:prSet>
      <dgm:spPr/>
    </dgm:pt>
    <dgm:pt modelId="{8CDD3BE7-A4C1-4541-891F-B33A557830FE}" type="pres">
      <dgm:prSet presAssocID="{6A4D05A6-FC34-42FC-BE58-ACBECA48EBCC}" presName="sibTrans" presStyleCnt="0"/>
      <dgm:spPr/>
    </dgm:pt>
    <dgm:pt modelId="{56670033-AD94-46A7-9124-CBBF2908E75C}" type="pres">
      <dgm:prSet presAssocID="{DC7548B3-93A8-4364-8659-C2F60713EB56}" presName="node" presStyleLbl="node1" presStyleIdx="6" presStyleCnt="9" custLinFactNeighborY="1250">
        <dgm:presLayoutVars>
          <dgm:bulletEnabled val="1"/>
        </dgm:presLayoutVars>
      </dgm:prSet>
      <dgm:spPr/>
    </dgm:pt>
    <dgm:pt modelId="{173C2693-3C80-4CFE-8627-15681C559B16}" type="pres">
      <dgm:prSet presAssocID="{092986D3-4989-4DB7-BEFF-DA93B1F106A9}" presName="sibTrans" presStyleCnt="0"/>
      <dgm:spPr/>
    </dgm:pt>
    <dgm:pt modelId="{4B4DBDFC-798C-40EA-8BB4-63ECAEB17F1B}" type="pres">
      <dgm:prSet presAssocID="{3D6BF22E-E769-45D9-992A-77E7BD4AFF59}" presName="node" presStyleLbl="node1" presStyleIdx="7" presStyleCnt="9" custLinFactNeighborY="1250">
        <dgm:presLayoutVars>
          <dgm:bulletEnabled val="1"/>
        </dgm:presLayoutVars>
      </dgm:prSet>
      <dgm:spPr/>
    </dgm:pt>
    <dgm:pt modelId="{CFBCED22-1D46-4373-9DA2-C585B1D08641}" type="pres">
      <dgm:prSet presAssocID="{846FC39E-422D-4708-B936-A55E01BF830E}" presName="sibTrans" presStyleCnt="0"/>
      <dgm:spPr/>
    </dgm:pt>
    <dgm:pt modelId="{082DDA71-444B-4E6F-B87E-5FE98829BCB8}" type="pres">
      <dgm:prSet presAssocID="{43BA82D0-FFB5-4DA1-9961-E24A98D5697A}" presName="node" presStyleLbl="node1" presStyleIdx="8" presStyleCnt="9" custLinFactNeighborY="1250">
        <dgm:presLayoutVars>
          <dgm:bulletEnabled val="1"/>
        </dgm:presLayoutVars>
      </dgm:prSet>
      <dgm:spPr/>
    </dgm:pt>
  </dgm:ptLst>
  <dgm:cxnLst>
    <dgm:cxn modelId="{E30FA901-4423-4B15-9773-25ACFCC1F80A}" srcId="{9F53A42E-772E-4E9D-8A18-11C6D02D4937}" destId="{DC7548B3-93A8-4364-8659-C2F60713EB56}" srcOrd="6" destOrd="0" parTransId="{10E83F75-88FA-467E-B8D8-3B0363CA844D}" sibTransId="{092986D3-4989-4DB7-BEFF-DA93B1F106A9}"/>
    <dgm:cxn modelId="{7476B209-2CBD-497F-BF70-C15C6942AB31}" type="presOf" srcId="{8D550A81-8F65-4141-AC2D-85CDA8FD562C}" destId="{25C6A747-3DE5-4C67-8A10-F88B8E47B3C6}" srcOrd="0" destOrd="0" presId="urn:microsoft.com/office/officeart/2005/8/layout/default"/>
    <dgm:cxn modelId="{8280CB10-D302-4091-A7D2-3737E697A052}" srcId="{9F53A42E-772E-4E9D-8A18-11C6D02D4937}" destId="{3AED7A2C-EDB0-4A63-AE83-2B11D0C9E856}" srcOrd="2" destOrd="0" parTransId="{B9DF7A3A-89DD-4385-87EB-28B80DC471B3}" sibTransId="{D7C3236E-1C08-445D-AA95-2465E9007E33}"/>
    <dgm:cxn modelId="{34191D14-9B83-43EF-B6B9-4346569394CB}" srcId="{9F53A42E-772E-4E9D-8A18-11C6D02D4937}" destId="{3D6BF22E-E769-45D9-992A-77E7BD4AFF59}" srcOrd="7" destOrd="0" parTransId="{97BEBDA9-F8DE-4C95-8257-E1D4956772AC}" sibTransId="{846FC39E-422D-4708-B936-A55E01BF830E}"/>
    <dgm:cxn modelId="{257E5618-C0F9-4D4C-9A46-98FE834169CF}" type="presOf" srcId="{DC7548B3-93A8-4364-8659-C2F60713EB56}" destId="{56670033-AD94-46A7-9124-CBBF2908E75C}" srcOrd="0" destOrd="0" presId="urn:microsoft.com/office/officeart/2005/8/layout/default"/>
    <dgm:cxn modelId="{0E1E9318-B2E1-4DFD-BCD2-765FA231DBC3}" srcId="{9F53A42E-772E-4E9D-8A18-11C6D02D4937}" destId="{CA96259B-B084-46E0-A251-9BAF7D7A8102}" srcOrd="0" destOrd="0" parTransId="{BD414AAE-6235-4516-A8A2-4378CC15BA06}" sibTransId="{D37B0923-0AB7-4FDD-9001-5700EEF17076}"/>
    <dgm:cxn modelId="{F3EA7828-A7AB-478D-B5F0-4981CFB825D8}" type="presOf" srcId="{CA96259B-B084-46E0-A251-9BAF7D7A8102}" destId="{CD2684E0-C3FD-4363-9133-87FE42264912}" srcOrd="0" destOrd="0" presId="urn:microsoft.com/office/officeart/2005/8/layout/default"/>
    <dgm:cxn modelId="{68076C31-B078-4A9D-868C-EA5EFBE764A3}" type="presOf" srcId="{3D6BF22E-E769-45D9-992A-77E7BD4AFF59}" destId="{4B4DBDFC-798C-40EA-8BB4-63ECAEB17F1B}" srcOrd="0" destOrd="0" presId="urn:microsoft.com/office/officeart/2005/8/layout/default"/>
    <dgm:cxn modelId="{0C987536-32AE-468E-811A-6E10C46A124D}" srcId="{9F53A42E-772E-4E9D-8A18-11C6D02D4937}" destId="{8D550A81-8F65-4141-AC2D-85CDA8FD562C}" srcOrd="5" destOrd="0" parTransId="{56A06135-5075-448A-8923-E37A8D926FAF}" sibTransId="{6A4D05A6-FC34-42FC-BE58-ACBECA48EBCC}"/>
    <dgm:cxn modelId="{47257555-2860-4784-B436-19E5A2BF8BE2}" srcId="{9F53A42E-772E-4E9D-8A18-11C6D02D4937}" destId="{CFBFE81A-A224-4CB7-A006-340ACDAD6AEB}" srcOrd="1" destOrd="0" parTransId="{6FD0EB6C-A2CE-484F-91CF-222C6FC6592E}" sibTransId="{F8DF942E-5EE1-4B55-BB46-28686691F98B}"/>
    <dgm:cxn modelId="{D2525776-152F-4FF9-956D-3413FC0CE02B}" type="presOf" srcId="{3AED7A2C-EDB0-4A63-AE83-2B11D0C9E856}" destId="{61E16CCA-114F-4127-864A-DDE95A4A7A3B}" srcOrd="0" destOrd="0" presId="urn:microsoft.com/office/officeart/2005/8/layout/default"/>
    <dgm:cxn modelId="{2E726A9F-A060-4CB8-BF09-30B36C708FC7}" srcId="{9F53A42E-772E-4E9D-8A18-11C6D02D4937}" destId="{43BA82D0-FFB5-4DA1-9961-E24A98D5697A}" srcOrd="8" destOrd="0" parTransId="{D0AD6596-6E78-4B3E-A4BC-3AC04315A4E3}" sibTransId="{D7F82738-C787-4A02-9222-FF242FC366E7}"/>
    <dgm:cxn modelId="{D6D3BEA8-A3EC-4BC0-98A4-624AFF2EEE30}" type="presOf" srcId="{9F53A42E-772E-4E9D-8A18-11C6D02D4937}" destId="{6E1639C1-A462-4676-B39F-C55AC822B426}" srcOrd="0" destOrd="0" presId="urn:microsoft.com/office/officeart/2005/8/layout/default"/>
    <dgm:cxn modelId="{E4CEABCF-4411-41FF-803C-4D29BE0B5484}" type="presOf" srcId="{43BA82D0-FFB5-4DA1-9961-E24A98D5697A}" destId="{082DDA71-444B-4E6F-B87E-5FE98829BCB8}" srcOrd="0" destOrd="0" presId="urn:microsoft.com/office/officeart/2005/8/layout/default"/>
    <dgm:cxn modelId="{C807BDD0-F50E-4F0C-8D48-FCE1DAF6A6B0}" srcId="{9F53A42E-772E-4E9D-8A18-11C6D02D4937}" destId="{1EA6DDC8-9030-44DA-9EC9-799D1106ACB1}" srcOrd="4" destOrd="0" parTransId="{A1F6C7FC-979A-4B0F-B246-AD1D117D1891}" sibTransId="{9494E191-04EA-40C2-8848-D3E186025EA6}"/>
    <dgm:cxn modelId="{DCD799D6-FC49-46A5-832B-3A5E134FE942}" type="presOf" srcId="{CFBFE81A-A224-4CB7-A006-340ACDAD6AEB}" destId="{96801582-08E5-48E5-A8E0-D5479DEE918E}" srcOrd="0" destOrd="0" presId="urn:microsoft.com/office/officeart/2005/8/layout/default"/>
    <dgm:cxn modelId="{53400BE9-CC2C-49E8-AAD3-D23721984D22}" srcId="{9F53A42E-772E-4E9D-8A18-11C6D02D4937}" destId="{F180FB26-A6BB-4D53-887C-E4368402E226}" srcOrd="3" destOrd="0" parTransId="{E13B20F9-FB9B-43EC-87A9-9020534D95B2}" sibTransId="{8C9ACB28-3BE6-4D7B-A2CA-5B0A3C644804}"/>
    <dgm:cxn modelId="{EDC2EEEE-77DA-410B-BE47-4A033D5868F5}" type="presOf" srcId="{1EA6DDC8-9030-44DA-9EC9-799D1106ACB1}" destId="{2522046F-0272-4687-90F9-E1A735C45B63}" srcOrd="0" destOrd="0" presId="urn:microsoft.com/office/officeart/2005/8/layout/default"/>
    <dgm:cxn modelId="{101928F7-4CDA-42C2-9F58-D3499F57F99F}" type="presOf" srcId="{F180FB26-A6BB-4D53-887C-E4368402E226}" destId="{9229F310-6B98-4758-A2CA-F41A44BF8A86}" srcOrd="0" destOrd="0" presId="urn:microsoft.com/office/officeart/2005/8/layout/default"/>
    <dgm:cxn modelId="{264F9F45-CCD9-40BC-A2CE-924AF3232F31}" type="presParOf" srcId="{6E1639C1-A462-4676-B39F-C55AC822B426}" destId="{CD2684E0-C3FD-4363-9133-87FE42264912}" srcOrd="0" destOrd="0" presId="urn:microsoft.com/office/officeart/2005/8/layout/default"/>
    <dgm:cxn modelId="{47C607E3-ECBE-46A5-9C4A-2C213002B766}" type="presParOf" srcId="{6E1639C1-A462-4676-B39F-C55AC822B426}" destId="{B6AE48FF-FA9D-4DD7-B53D-04FD2D1B75A1}" srcOrd="1" destOrd="0" presId="urn:microsoft.com/office/officeart/2005/8/layout/default"/>
    <dgm:cxn modelId="{90447341-2770-460B-8A28-098C839FBE33}" type="presParOf" srcId="{6E1639C1-A462-4676-B39F-C55AC822B426}" destId="{96801582-08E5-48E5-A8E0-D5479DEE918E}" srcOrd="2" destOrd="0" presId="urn:microsoft.com/office/officeart/2005/8/layout/default"/>
    <dgm:cxn modelId="{AE3D9162-BE2D-41D5-BB88-EBB1D99EE02A}" type="presParOf" srcId="{6E1639C1-A462-4676-B39F-C55AC822B426}" destId="{87C01225-6D94-4C1E-A9FA-291C40367349}" srcOrd="3" destOrd="0" presId="urn:microsoft.com/office/officeart/2005/8/layout/default"/>
    <dgm:cxn modelId="{2ABBFE90-505B-4F18-8DE3-7F321AC40B4B}" type="presParOf" srcId="{6E1639C1-A462-4676-B39F-C55AC822B426}" destId="{61E16CCA-114F-4127-864A-DDE95A4A7A3B}" srcOrd="4" destOrd="0" presId="urn:microsoft.com/office/officeart/2005/8/layout/default"/>
    <dgm:cxn modelId="{3BD9C945-81AF-4E8B-807A-44D457AC977A}" type="presParOf" srcId="{6E1639C1-A462-4676-B39F-C55AC822B426}" destId="{B5AD16ED-7F2B-43E6-B0B5-EA936B2E2145}" srcOrd="5" destOrd="0" presId="urn:microsoft.com/office/officeart/2005/8/layout/default"/>
    <dgm:cxn modelId="{A858FD3D-EC2A-444D-A95A-3FA1C85D111D}" type="presParOf" srcId="{6E1639C1-A462-4676-B39F-C55AC822B426}" destId="{9229F310-6B98-4758-A2CA-F41A44BF8A86}" srcOrd="6" destOrd="0" presId="urn:microsoft.com/office/officeart/2005/8/layout/default"/>
    <dgm:cxn modelId="{BA1CF2D4-276D-48F8-A808-51D73AE8DD44}" type="presParOf" srcId="{6E1639C1-A462-4676-B39F-C55AC822B426}" destId="{8605B314-FD4C-4497-B77A-E1B833639F1E}" srcOrd="7" destOrd="0" presId="urn:microsoft.com/office/officeart/2005/8/layout/default"/>
    <dgm:cxn modelId="{DA9E77CA-1A25-4EDD-AE16-C8FCBF20D459}" type="presParOf" srcId="{6E1639C1-A462-4676-B39F-C55AC822B426}" destId="{2522046F-0272-4687-90F9-E1A735C45B63}" srcOrd="8" destOrd="0" presId="urn:microsoft.com/office/officeart/2005/8/layout/default"/>
    <dgm:cxn modelId="{18683CFD-5835-4F12-A5B6-C232E1FDDFB8}" type="presParOf" srcId="{6E1639C1-A462-4676-B39F-C55AC822B426}" destId="{B0947F0D-C069-4F5F-BEC9-AE2BE75CEFAE}" srcOrd="9" destOrd="0" presId="urn:microsoft.com/office/officeart/2005/8/layout/default"/>
    <dgm:cxn modelId="{B240B11A-6DF1-4766-9309-7A6F48B6C94C}" type="presParOf" srcId="{6E1639C1-A462-4676-B39F-C55AC822B426}" destId="{25C6A747-3DE5-4C67-8A10-F88B8E47B3C6}" srcOrd="10" destOrd="0" presId="urn:microsoft.com/office/officeart/2005/8/layout/default"/>
    <dgm:cxn modelId="{EEF4C08B-2CED-4560-A57F-9A443D025083}" type="presParOf" srcId="{6E1639C1-A462-4676-B39F-C55AC822B426}" destId="{8CDD3BE7-A4C1-4541-891F-B33A557830FE}" srcOrd="11" destOrd="0" presId="urn:microsoft.com/office/officeart/2005/8/layout/default"/>
    <dgm:cxn modelId="{629ED45F-E52F-4A4E-A4F4-EBEFC5901A0F}" type="presParOf" srcId="{6E1639C1-A462-4676-B39F-C55AC822B426}" destId="{56670033-AD94-46A7-9124-CBBF2908E75C}" srcOrd="12" destOrd="0" presId="urn:microsoft.com/office/officeart/2005/8/layout/default"/>
    <dgm:cxn modelId="{6BD79295-534A-468B-8627-2F3CC14E7DEA}" type="presParOf" srcId="{6E1639C1-A462-4676-B39F-C55AC822B426}" destId="{173C2693-3C80-4CFE-8627-15681C559B16}" srcOrd="13" destOrd="0" presId="urn:microsoft.com/office/officeart/2005/8/layout/default"/>
    <dgm:cxn modelId="{FFE54BA2-A755-4D8F-9BFB-12504F431CF3}" type="presParOf" srcId="{6E1639C1-A462-4676-B39F-C55AC822B426}" destId="{4B4DBDFC-798C-40EA-8BB4-63ECAEB17F1B}" srcOrd="14" destOrd="0" presId="urn:microsoft.com/office/officeart/2005/8/layout/default"/>
    <dgm:cxn modelId="{A9915EF9-B3EE-4B7F-915B-CBAD080240A1}" type="presParOf" srcId="{6E1639C1-A462-4676-B39F-C55AC822B426}" destId="{CFBCED22-1D46-4373-9DA2-C585B1D08641}" srcOrd="15" destOrd="0" presId="urn:microsoft.com/office/officeart/2005/8/layout/default"/>
    <dgm:cxn modelId="{462D156B-0435-4301-97D3-AE3B447E361D}" type="presParOf" srcId="{6E1639C1-A462-4676-B39F-C55AC822B426}" destId="{082DDA71-444B-4E6F-B87E-5FE98829BCB8}" srcOrd="16" destOrd="0" presId="urn:microsoft.com/office/officeart/2005/8/layout/default"/>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2684E0-C3FD-4363-9133-87FE42264912}">
      <dsp:nvSpPr>
        <dsp:cNvPr id="0" name=""/>
        <dsp:cNvSpPr/>
      </dsp:nvSpPr>
      <dsp:spPr>
        <a:xfrm>
          <a:off x="0" y="25399"/>
          <a:ext cx="1269999" cy="76200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Changing Consumer Behavior</a:t>
          </a:r>
        </a:p>
      </dsp:txBody>
      <dsp:txXfrm>
        <a:off x="0" y="25399"/>
        <a:ext cx="1269999" cy="762000"/>
      </dsp:txXfrm>
    </dsp:sp>
    <dsp:sp modelId="{96801582-08E5-48E5-A8E0-D5479DEE918E}">
      <dsp:nvSpPr>
        <dsp:cNvPr id="0" name=""/>
        <dsp:cNvSpPr/>
      </dsp:nvSpPr>
      <dsp:spPr>
        <a:xfrm>
          <a:off x="1397000" y="25399"/>
          <a:ext cx="1269999" cy="762000"/>
        </a:xfrm>
        <a:prstGeom prst="rect">
          <a:avLst/>
        </a:prstGeom>
        <a:solidFill>
          <a:schemeClr val="accent5">
            <a:hueOff val="-844818"/>
            <a:satOff val="-2177"/>
            <a:lumOff val="-14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Low level of Collaboration between large scaled and small firms</a:t>
          </a:r>
        </a:p>
      </dsp:txBody>
      <dsp:txXfrm>
        <a:off x="1397000" y="25399"/>
        <a:ext cx="1269999" cy="762000"/>
      </dsp:txXfrm>
    </dsp:sp>
    <dsp:sp modelId="{61E16CCA-114F-4127-864A-DDE95A4A7A3B}">
      <dsp:nvSpPr>
        <dsp:cNvPr id="0" name=""/>
        <dsp:cNvSpPr/>
      </dsp:nvSpPr>
      <dsp:spPr>
        <a:xfrm>
          <a:off x="2793999" y="25399"/>
          <a:ext cx="1269999" cy="762000"/>
        </a:xfrm>
        <a:prstGeom prst="rect">
          <a:avLst/>
        </a:prstGeom>
        <a:solidFill>
          <a:schemeClr val="accent5">
            <a:hueOff val="-1689636"/>
            <a:satOff val="-4355"/>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Regulatory Challenges </a:t>
          </a:r>
        </a:p>
      </dsp:txBody>
      <dsp:txXfrm>
        <a:off x="2793999" y="25399"/>
        <a:ext cx="1269999" cy="762000"/>
      </dsp:txXfrm>
    </dsp:sp>
    <dsp:sp modelId="{9229F310-6B98-4758-A2CA-F41A44BF8A86}">
      <dsp:nvSpPr>
        <dsp:cNvPr id="0" name=""/>
        <dsp:cNvSpPr/>
      </dsp:nvSpPr>
      <dsp:spPr>
        <a:xfrm>
          <a:off x="0" y="914400"/>
          <a:ext cx="1269999" cy="762000"/>
        </a:xfrm>
        <a:prstGeom prst="rect">
          <a:avLst/>
        </a:prstGeom>
        <a:solidFill>
          <a:schemeClr val="accent5">
            <a:hueOff val="-2534453"/>
            <a:satOff val="-6532"/>
            <a:lumOff val="-441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Data Security Issues</a:t>
          </a:r>
        </a:p>
      </dsp:txBody>
      <dsp:txXfrm>
        <a:off x="0" y="914400"/>
        <a:ext cx="1269999" cy="762000"/>
      </dsp:txXfrm>
    </dsp:sp>
    <dsp:sp modelId="{2522046F-0272-4687-90F9-E1A735C45B63}">
      <dsp:nvSpPr>
        <dsp:cNvPr id="0" name=""/>
        <dsp:cNvSpPr/>
      </dsp:nvSpPr>
      <dsp:spPr>
        <a:xfrm>
          <a:off x="1397000" y="914400"/>
          <a:ext cx="1269999" cy="762000"/>
        </a:xfrm>
        <a:prstGeom prst="rect">
          <a:avLst/>
        </a:prstGeom>
        <a:solidFill>
          <a:schemeClr val="accent5">
            <a:hueOff val="-3379271"/>
            <a:satOff val="-8710"/>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Licensing Challenges </a:t>
          </a:r>
        </a:p>
      </dsp:txBody>
      <dsp:txXfrm>
        <a:off x="1397000" y="914400"/>
        <a:ext cx="1269999" cy="762000"/>
      </dsp:txXfrm>
    </dsp:sp>
    <dsp:sp modelId="{25C6A747-3DE5-4C67-8A10-F88B8E47B3C6}">
      <dsp:nvSpPr>
        <dsp:cNvPr id="0" name=""/>
        <dsp:cNvSpPr/>
      </dsp:nvSpPr>
      <dsp:spPr>
        <a:xfrm>
          <a:off x="2793999" y="914400"/>
          <a:ext cx="1269999" cy="762000"/>
        </a:xfrm>
        <a:prstGeom prst="rect">
          <a:avLst/>
        </a:prstGeom>
        <a:solidFill>
          <a:schemeClr val="accent5">
            <a:hueOff val="-4224089"/>
            <a:satOff val="-10887"/>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Funding Issues</a:t>
          </a:r>
        </a:p>
      </dsp:txBody>
      <dsp:txXfrm>
        <a:off x="2793999" y="914400"/>
        <a:ext cx="1269999" cy="762000"/>
      </dsp:txXfrm>
    </dsp:sp>
    <dsp:sp modelId="{56670033-AD94-46A7-9124-CBBF2908E75C}">
      <dsp:nvSpPr>
        <dsp:cNvPr id="0" name=""/>
        <dsp:cNvSpPr/>
      </dsp:nvSpPr>
      <dsp:spPr>
        <a:xfrm>
          <a:off x="0" y="1803400"/>
          <a:ext cx="1269999" cy="762000"/>
        </a:xfrm>
        <a:prstGeom prst="rect">
          <a:avLst/>
        </a:prstGeom>
        <a:solidFill>
          <a:schemeClr val="accent5">
            <a:hueOff val="-5068907"/>
            <a:satOff val="-13064"/>
            <a:lumOff val="-882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Challenges in tapping customers</a:t>
          </a:r>
        </a:p>
      </dsp:txBody>
      <dsp:txXfrm>
        <a:off x="0" y="1803400"/>
        <a:ext cx="1269999" cy="762000"/>
      </dsp:txXfrm>
    </dsp:sp>
    <dsp:sp modelId="{4B4DBDFC-798C-40EA-8BB4-63ECAEB17F1B}">
      <dsp:nvSpPr>
        <dsp:cNvPr id="0" name=""/>
        <dsp:cNvSpPr/>
      </dsp:nvSpPr>
      <dsp:spPr>
        <a:xfrm>
          <a:off x="1397000" y="1803400"/>
          <a:ext cx="1269999" cy="762000"/>
        </a:xfrm>
        <a:prstGeom prst="rect">
          <a:avLst/>
        </a:prstGeom>
        <a:solidFill>
          <a:schemeClr val="accent5">
            <a:hueOff val="-5913725"/>
            <a:satOff val="-15242"/>
            <a:lumOff val="-1029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Attracting right Talent</a:t>
          </a:r>
        </a:p>
      </dsp:txBody>
      <dsp:txXfrm>
        <a:off x="1397000" y="1803400"/>
        <a:ext cx="1269999" cy="762000"/>
      </dsp:txXfrm>
    </dsp:sp>
    <dsp:sp modelId="{082DDA71-444B-4E6F-B87E-5FE98829BCB8}">
      <dsp:nvSpPr>
        <dsp:cNvPr id="0" name=""/>
        <dsp:cNvSpPr/>
      </dsp:nvSpPr>
      <dsp:spPr>
        <a:xfrm>
          <a:off x="2793999" y="1803400"/>
          <a:ext cx="1269999" cy="762000"/>
        </a:xfrm>
        <a:prstGeom prst="rect">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dirty="0">
              <a:latin typeface="Arial" panose="020B0604020202020204" pitchFamily="34" charset="0"/>
              <a:cs typeface="Arial" panose="020B0604020202020204" pitchFamily="34" charset="0"/>
            </a:rPr>
            <a:t>Lack of Mentoring/Trainings</a:t>
          </a:r>
        </a:p>
      </dsp:txBody>
      <dsp:txXfrm>
        <a:off x="2793999" y="1803400"/>
        <a:ext cx="1269999" cy="76200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2124</Words>
  <Characters>12110</Characters>
  <Application>Microsoft Office Word</Application>
  <DocSecurity>0</DocSecurity>
  <Lines>100</Lines>
  <Paragraphs>28</Paragraphs>
  <ScaleCrop>false</ScaleCrop>
  <Company/>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Maham Fatima</dc:creator>
  <cp:keywords/>
  <dc:description/>
  <cp:lastModifiedBy>Maham Fatima</cp:lastModifiedBy>
  <cp:revision>3</cp:revision>
  <dcterms:created xsi:type="dcterms:W3CDTF">2021-05-20T09:46:00Z</dcterms:created>
  <dcterms:modified xsi:type="dcterms:W3CDTF">2021-05-20T10:03:00Z</dcterms:modified>
</cp:coreProperties>
</file>